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878" w:rsidRDefault="00F71878" w:rsidP="00F71878">
      <w:pPr>
        <w:widowControl/>
        <w:shd w:val="clear" w:color="auto" w:fill="FFFFFF"/>
        <w:jc w:val="center"/>
        <w:rPr>
          <w:rFonts w:ascii="Verdana" w:hAnsi="Verdana" w:cs="Verdana"/>
          <w:color w:val="000000"/>
          <w:kern w:val="0"/>
          <w:sz w:val="28"/>
          <w:szCs w:val="28"/>
          <w:shd w:val="clear" w:color="auto" w:fill="FFFFFF"/>
        </w:rPr>
      </w:pPr>
      <w:r>
        <w:rPr>
          <w:rFonts w:ascii="Verdana" w:eastAsia="Verdana" w:hAnsi="Verdana" w:cs="Verdana"/>
          <w:color w:val="000000"/>
          <w:kern w:val="0"/>
          <w:sz w:val="28"/>
          <w:szCs w:val="28"/>
          <w:shd w:val="clear" w:color="auto" w:fill="FFFFFF"/>
        </w:rPr>
        <w:t>合肥学院生物与环境工程系中央实验台</w:t>
      </w:r>
      <w:r>
        <w:rPr>
          <w:rFonts w:ascii="Verdana" w:hAnsi="Verdana" w:cs="Verdana" w:hint="eastAsia"/>
          <w:color w:val="000000"/>
          <w:kern w:val="0"/>
          <w:sz w:val="28"/>
          <w:szCs w:val="28"/>
          <w:shd w:val="clear" w:color="auto" w:fill="FFFFFF"/>
        </w:rPr>
        <w:t>等</w:t>
      </w:r>
      <w:r>
        <w:rPr>
          <w:rFonts w:ascii="Verdana" w:eastAsia="Verdana" w:hAnsi="Verdana" w:cs="Verdana"/>
          <w:color w:val="000000"/>
          <w:kern w:val="0"/>
          <w:sz w:val="28"/>
          <w:szCs w:val="28"/>
          <w:shd w:val="clear" w:color="auto" w:fill="FFFFFF"/>
        </w:rPr>
        <w:t>采购</w:t>
      </w:r>
      <w:r>
        <w:rPr>
          <w:rFonts w:ascii="Verdana" w:hAnsi="Verdana" w:cs="Verdana" w:hint="eastAsia"/>
          <w:color w:val="000000"/>
          <w:kern w:val="0"/>
          <w:sz w:val="28"/>
          <w:szCs w:val="28"/>
          <w:shd w:val="clear" w:color="auto" w:fill="FFFFFF"/>
        </w:rPr>
        <w:t>安装招标文件</w:t>
      </w:r>
    </w:p>
    <w:p w:rsidR="00F71878" w:rsidRDefault="00F71878" w:rsidP="00F71878">
      <w:pPr>
        <w:widowControl/>
        <w:shd w:val="clear" w:color="auto" w:fill="FFFFFF"/>
        <w:jc w:val="center"/>
        <w:rPr>
          <w:rFonts w:ascii="Verdana" w:hAnsi="Verdana" w:cs="Verdana"/>
          <w:color w:val="000000"/>
          <w:kern w:val="0"/>
          <w:sz w:val="28"/>
          <w:szCs w:val="28"/>
          <w:shd w:val="clear" w:color="auto" w:fill="FFFFFF"/>
        </w:rPr>
      </w:pPr>
    </w:p>
    <w:p w:rsidR="00F71878" w:rsidRDefault="00F71878" w:rsidP="00F71878">
      <w:pPr>
        <w:widowControl/>
        <w:shd w:val="clear" w:color="auto" w:fill="FFFFFF"/>
        <w:jc w:val="center"/>
        <w:rPr>
          <w:rFonts w:ascii="Verdana" w:eastAsia="Verdana" w:hAnsi="Verdana" w:cs="Verdana"/>
          <w:color w:val="000000"/>
          <w:kern w:val="0"/>
          <w:sz w:val="24"/>
          <w:szCs w:val="24"/>
          <w:shd w:val="clear" w:color="auto" w:fill="FFFFFF"/>
        </w:rPr>
      </w:pPr>
    </w:p>
    <w:tbl>
      <w:tblPr>
        <w:tblW w:w="8086" w:type="dxa"/>
        <w:tblLayout w:type="fixed"/>
        <w:tblCellMar>
          <w:top w:w="15" w:type="dxa"/>
          <w:left w:w="15" w:type="dxa"/>
          <w:bottom w:w="15" w:type="dxa"/>
          <w:right w:w="15" w:type="dxa"/>
        </w:tblCellMar>
        <w:tblLook w:val="04A0" w:firstRow="1" w:lastRow="0" w:firstColumn="1" w:lastColumn="0" w:noHBand="0" w:noVBand="1"/>
      </w:tblPr>
      <w:tblGrid>
        <w:gridCol w:w="538"/>
        <w:gridCol w:w="4668"/>
        <w:gridCol w:w="636"/>
        <w:gridCol w:w="648"/>
        <w:gridCol w:w="804"/>
        <w:gridCol w:w="792"/>
      </w:tblGrid>
      <w:tr w:rsidR="00F71878" w:rsidTr="00530B65">
        <w:trPr>
          <w:trHeight w:val="349"/>
        </w:trPr>
        <w:tc>
          <w:tcPr>
            <w:tcW w:w="6490" w:type="dxa"/>
            <w:gridSpan w:val="4"/>
            <w:tcBorders>
              <w:top w:val="single" w:sz="12" w:space="0" w:color="000000"/>
            </w:tcBorders>
            <w:shd w:val="clear" w:color="auto" w:fill="auto"/>
            <w:vAlign w:val="center"/>
          </w:tcPr>
          <w:p w:rsidR="00F71878" w:rsidRDefault="00F71878" w:rsidP="00530B65">
            <w:pPr>
              <w:widowControl/>
              <w:jc w:val="center"/>
              <w:textAlignment w:val="center"/>
              <w:rPr>
                <w:rFonts w:ascii="宋体" w:eastAsia="宋体" w:hAnsi="宋体" w:cs="宋体"/>
                <w:b/>
                <w:color w:val="000000"/>
                <w:sz w:val="28"/>
                <w:szCs w:val="28"/>
              </w:rPr>
            </w:pPr>
            <w:r>
              <w:rPr>
                <w:rFonts w:ascii="宋体" w:eastAsia="宋体" w:hAnsi="宋体" w:cs="宋体" w:hint="eastAsia"/>
                <w:b/>
                <w:color w:val="000000"/>
                <w:kern w:val="0"/>
                <w:sz w:val="28"/>
                <w:szCs w:val="28"/>
              </w:rPr>
              <w:t>实 验 台 柜 清 单</w:t>
            </w:r>
          </w:p>
        </w:tc>
        <w:tc>
          <w:tcPr>
            <w:tcW w:w="804" w:type="dxa"/>
            <w:shd w:val="clear" w:color="auto" w:fill="auto"/>
            <w:vAlign w:val="center"/>
          </w:tcPr>
          <w:p w:rsidR="00F71878" w:rsidRDefault="00F71878" w:rsidP="00530B65">
            <w:pPr>
              <w:rPr>
                <w:rFonts w:ascii="宋体" w:eastAsia="宋体" w:hAnsi="宋体" w:cs="宋体"/>
                <w:color w:val="000000"/>
                <w:sz w:val="24"/>
                <w:szCs w:val="24"/>
              </w:rPr>
            </w:pPr>
          </w:p>
        </w:tc>
        <w:tc>
          <w:tcPr>
            <w:tcW w:w="792" w:type="dxa"/>
            <w:shd w:val="clear" w:color="auto" w:fill="auto"/>
            <w:vAlign w:val="center"/>
          </w:tcPr>
          <w:p w:rsidR="00F71878" w:rsidRDefault="00F71878" w:rsidP="00530B65">
            <w:pPr>
              <w:rPr>
                <w:rFonts w:ascii="宋体" w:eastAsia="宋体" w:hAnsi="宋体" w:cs="宋体"/>
                <w:color w:val="000000"/>
                <w:sz w:val="24"/>
                <w:szCs w:val="24"/>
              </w:rPr>
            </w:pPr>
          </w:p>
        </w:tc>
      </w:tr>
      <w:tr w:rsidR="00F71878" w:rsidTr="00530B65">
        <w:trPr>
          <w:trHeight w:val="22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jc w:val="left"/>
              <w:rPr>
                <w:rFonts w:ascii="宋体" w:eastAsia="宋体" w:hAnsi="宋体" w:cs="宋体"/>
                <w:color w:val="000000"/>
                <w:sz w:val="24"/>
                <w:szCs w:val="24"/>
              </w:rPr>
            </w:pPr>
          </w:p>
        </w:tc>
        <w:tc>
          <w:tcPr>
            <w:tcW w:w="4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名称</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rPr>
              <w:t>数量</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rPr>
              <w:t>单位</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单价</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合价</w:t>
            </w:r>
          </w:p>
        </w:tc>
      </w:tr>
      <w:tr w:rsidR="00F71878" w:rsidTr="00530B65">
        <w:trPr>
          <w:trHeight w:val="625"/>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righ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4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居中实验台（4500*1500*850mm）</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rPr>
              <w:t>个</w:t>
            </w:r>
            <w:proofErr w:type="gramEnd"/>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19200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57600</w:t>
            </w:r>
          </w:p>
        </w:tc>
      </w:tr>
      <w:tr w:rsidR="00F71878" w:rsidTr="00530B65">
        <w:trPr>
          <w:trHeight w:val="22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right"/>
              <w:textAlignment w:val="center"/>
              <w:rPr>
                <w:rFonts w:ascii="宋体" w:eastAsia="宋体" w:hAnsi="宋体" w:cs="宋体"/>
                <w:b/>
                <w:color w:val="000000"/>
                <w:szCs w:val="21"/>
              </w:rPr>
            </w:pPr>
            <w:r>
              <w:rPr>
                <w:rFonts w:ascii="宋体" w:eastAsia="宋体" w:hAnsi="宋体" w:cs="宋体" w:hint="eastAsia"/>
                <w:b/>
                <w:color w:val="000000"/>
                <w:kern w:val="0"/>
                <w:szCs w:val="21"/>
              </w:rPr>
              <w:t>▲2</w:t>
            </w:r>
          </w:p>
        </w:tc>
        <w:tc>
          <w:tcPr>
            <w:tcW w:w="4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实验室专用通风排毒橱柜（含通风系统）</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rPr>
              <w:t>套</w:t>
            </w:r>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5500</w:t>
            </w:r>
          </w:p>
        </w:tc>
      </w:tr>
      <w:tr w:rsidR="00F71878" w:rsidTr="00530B65">
        <w:trPr>
          <w:trHeight w:val="228"/>
        </w:trPr>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right"/>
              <w:textAlignment w:val="center"/>
              <w:rPr>
                <w:rFonts w:ascii="宋体" w:eastAsia="宋体" w:hAnsi="宋体" w:cs="宋体"/>
                <w:b/>
                <w:color w:val="000000"/>
                <w:szCs w:val="21"/>
              </w:rPr>
            </w:pPr>
            <w:r>
              <w:rPr>
                <w:rFonts w:ascii="宋体" w:eastAsia="宋体" w:hAnsi="宋体" w:cs="宋体" w:hint="eastAsia"/>
                <w:b/>
                <w:color w:val="000000"/>
                <w:kern w:val="0"/>
                <w:szCs w:val="21"/>
              </w:rPr>
              <w:t>▲</w:t>
            </w:r>
            <w:r>
              <w:rPr>
                <w:rStyle w:val="font21"/>
                <w:rFonts w:hint="default"/>
              </w:rPr>
              <w:t>3</w:t>
            </w:r>
          </w:p>
        </w:tc>
        <w:tc>
          <w:tcPr>
            <w:tcW w:w="46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居中试剂药品架（4500*400*750mm）</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648" w:type="dxa"/>
            <w:tcBorders>
              <w:top w:val="single" w:sz="4" w:space="0" w:color="000000"/>
              <w:left w:val="single" w:sz="4" w:space="0" w:color="000000"/>
              <w:bottom w:val="single" w:sz="4" w:space="0" w:color="000000"/>
              <w:right w:val="single" w:sz="4" w:space="0" w:color="000000"/>
            </w:tcBorders>
            <w:shd w:val="clear" w:color="auto" w:fill="auto"/>
            <w:vAlign w:val="bottom"/>
          </w:tcPr>
          <w:p w:rsidR="00F71878" w:rsidRDefault="00F71878" w:rsidP="00530B65">
            <w:pPr>
              <w:widowControl/>
              <w:jc w:val="center"/>
              <w:textAlignment w:val="bottom"/>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rPr>
              <w:t>个</w:t>
            </w:r>
            <w:proofErr w:type="gramEnd"/>
          </w:p>
        </w:tc>
        <w:tc>
          <w:tcPr>
            <w:tcW w:w="8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4500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13500</w:t>
            </w:r>
          </w:p>
        </w:tc>
      </w:tr>
      <w:tr w:rsidR="00F71878" w:rsidTr="00530B65">
        <w:trPr>
          <w:trHeight w:val="228"/>
        </w:trPr>
        <w:tc>
          <w:tcPr>
            <w:tcW w:w="538" w:type="dxa"/>
            <w:shd w:val="clear" w:color="auto" w:fill="auto"/>
            <w:vAlign w:val="center"/>
          </w:tcPr>
          <w:p w:rsidR="00F71878" w:rsidRDefault="00F71878" w:rsidP="00530B65">
            <w:pPr>
              <w:rPr>
                <w:rFonts w:ascii="宋体" w:eastAsia="宋体" w:hAnsi="宋体" w:cs="宋体"/>
                <w:color w:val="000000"/>
                <w:sz w:val="22"/>
              </w:rPr>
            </w:pPr>
          </w:p>
        </w:tc>
        <w:tc>
          <w:tcPr>
            <w:tcW w:w="4668" w:type="dxa"/>
            <w:shd w:val="clear" w:color="auto" w:fill="auto"/>
            <w:vAlign w:val="center"/>
          </w:tcPr>
          <w:p w:rsidR="00F71878" w:rsidRDefault="00F71878" w:rsidP="00530B65">
            <w:pPr>
              <w:rPr>
                <w:rFonts w:ascii="宋体" w:eastAsia="宋体" w:hAnsi="宋体" w:cs="宋体"/>
                <w:color w:val="000000"/>
                <w:sz w:val="22"/>
              </w:rPr>
            </w:pPr>
          </w:p>
        </w:tc>
        <w:tc>
          <w:tcPr>
            <w:tcW w:w="636" w:type="dxa"/>
            <w:shd w:val="clear" w:color="auto" w:fill="auto"/>
            <w:vAlign w:val="center"/>
          </w:tcPr>
          <w:p w:rsidR="00F71878" w:rsidRDefault="00F71878" w:rsidP="00530B65">
            <w:pPr>
              <w:rPr>
                <w:rFonts w:ascii="宋体" w:eastAsia="宋体" w:hAnsi="宋体" w:cs="宋体"/>
                <w:color w:val="000000"/>
                <w:sz w:val="22"/>
              </w:rPr>
            </w:pPr>
          </w:p>
        </w:tc>
        <w:tc>
          <w:tcPr>
            <w:tcW w:w="648" w:type="dxa"/>
            <w:shd w:val="clear" w:color="auto" w:fill="auto"/>
            <w:vAlign w:val="center"/>
          </w:tcPr>
          <w:p w:rsidR="00F71878" w:rsidRDefault="00F71878" w:rsidP="00530B65">
            <w:pPr>
              <w:rPr>
                <w:rFonts w:ascii="宋体" w:eastAsia="宋体" w:hAnsi="宋体" w:cs="宋体"/>
                <w:color w:val="000000"/>
                <w:sz w:val="22"/>
              </w:rPr>
            </w:pPr>
          </w:p>
        </w:tc>
        <w:tc>
          <w:tcPr>
            <w:tcW w:w="804" w:type="dxa"/>
            <w:shd w:val="clear" w:color="auto" w:fill="auto"/>
            <w:vAlign w:val="center"/>
          </w:tcPr>
          <w:p w:rsidR="00F71878" w:rsidRDefault="00F71878" w:rsidP="00530B65">
            <w:pPr>
              <w:rPr>
                <w:rFonts w:ascii="宋体" w:eastAsia="宋体" w:hAnsi="宋体" w:cs="宋体"/>
                <w:color w:val="000000"/>
                <w:sz w:val="24"/>
                <w:szCs w:val="24"/>
              </w:rPr>
            </w:pPr>
          </w:p>
        </w:tc>
        <w:tc>
          <w:tcPr>
            <w:tcW w:w="792" w:type="dxa"/>
            <w:shd w:val="clear" w:color="auto" w:fill="auto"/>
            <w:vAlign w:val="center"/>
          </w:tcPr>
          <w:p w:rsidR="00F71878" w:rsidRDefault="00F71878" w:rsidP="00530B65">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76600</w:t>
            </w:r>
          </w:p>
        </w:tc>
      </w:tr>
    </w:tbl>
    <w:p w:rsidR="00F71878" w:rsidRDefault="00F71878" w:rsidP="00F71878">
      <w:pPr>
        <w:widowControl/>
        <w:shd w:val="clear" w:color="auto" w:fill="FFFFFF"/>
        <w:jc w:val="left"/>
        <w:rPr>
          <w:rFonts w:ascii="Verdana" w:eastAsia="Verdana" w:hAnsi="Verdana" w:cs="Verdana"/>
          <w:color w:val="000000"/>
          <w:kern w:val="0"/>
          <w:sz w:val="24"/>
          <w:szCs w:val="24"/>
          <w:shd w:val="clear" w:color="auto" w:fill="FFFFFF"/>
        </w:rPr>
      </w:pPr>
    </w:p>
    <w:p w:rsidR="00F71878" w:rsidRDefault="00F71878" w:rsidP="00F71878">
      <w:pPr>
        <w:ind w:firstLineChars="200" w:firstLine="480"/>
        <w:rPr>
          <w:sz w:val="24"/>
          <w:szCs w:val="24"/>
        </w:rPr>
      </w:pPr>
    </w:p>
    <w:p w:rsidR="00F71878" w:rsidRDefault="00F71878" w:rsidP="00F71878">
      <w:pPr>
        <w:ind w:firstLineChars="200" w:firstLine="560"/>
        <w:rPr>
          <w:sz w:val="28"/>
          <w:szCs w:val="28"/>
        </w:rPr>
      </w:pPr>
      <w:r>
        <w:rPr>
          <w:rFonts w:hint="eastAsia"/>
          <w:sz w:val="28"/>
          <w:szCs w:val="28"/>
        </w:rPr>
        <w:t>附件：实验台和通风橱参数</w:t>
      </w:r>
    </w:p>
    <w:p w:rsidR="00F71878" w:rsidRDefault="00F71878" w:rsidP="00F71878">
      <w:pPr>
        <w:ind w:firstLineChars="200" w:firstLine="480"/>
        <w:rPr>
          <w:rFonts w:ascii="宋体" w:hAnsi="宋体" w:cs="宋体"/>
          <w:color w:val="000000"/>
          <w:kern w:val="0"/>
          <w:sz w:val="24"/>
        </w:rPr>
      </w:pPr>
      <w:r>
        <w:rPr>
          <w:rFonts w:ascii="宋体" w:hAnsi="宋体" w:cs="宋体" w:hint="eastAsia"/>
          <w:color w:val="000000"/>
          <w:kern w:val="0"/>
          <w:sz w:val="24"/>
        </w:rPr>
        <w:t>居中实验台（4500*1500*850mm）</w:t>
      </w:r>
    </w:p>
    <w:p w:rsidR="00F71878" w:rsidRDefault="00F71878" w:rsidP="00F71878">
      <w:pPr>
        <w:ind w:firstLineChars="200" w:firstLine="400"/>
        <w:rPr>
          <w:rFonts w:ascii="宋体" w:hAnsi="宋体" w:cs="宋体"/>
          <w:color w:val="000000"/>
          <w:kern w:val="0"/>
          <w:sz w:val="24"/>
        </w:rPr>
      </w:pPr>
      <w:r>
        <w:rPr>
          <w:rFonts w:ascii="宋体" w:hAnsi="宋体" w:cs="宋体" w:hint="eastAsia"/>
          <w:color w:val="000000"/>
          <w:kern w:val="0"/>
          <w:sz w:val="20"/>
          <w:szCs w:val="20"/>
        </w:rPr>
        <w:t>1.主框架采用宝钢60*40*2.0mm方钢组成的“O”型骨架，表面酸洗、磷化处理后，经环氧树脂静电喷涂、高温固化处理，表面光洁，耐酸碱、耐腐蚀模具冲压标准化连接件；2.前后梁：采用宝钢60*40*2.0mm方钢，表面酸洗、磷化处理后，经环氧树脂静电喷涂、高温固化处理，表面光洁，耐酸碱、耐腐蚀；3.底柜托梁：采用宝钢40*25*2.0mm方钢，表面酸洗、磷化处理后，经环氧树脂静电喷涂、高温固化处理，表面光洁，耐酸碱、耐腐蚀；★4.台面：采用黑色12.7mm实芯理化台面板，耐强酸强碱、耐化学溶剂腐蚀，抗强冲击，无毒，不变形，硬度高，不易损坏。试剂种类不少于45种，台面边缘双层加厚，下部做滴水凹槽，防止液体侵蚀柜体。5.柜体、层板、背板：采用18mm厚E1级环保防潮型双面高压三聚氰胺板；所有断面无崩边，断面经2mmPVC封边防水处理，四边倒角圆滑处理。所有板件采用三合一连接件，结构稳固，承重性能好且易于拆迁；★6.柜门板及抽屉面板：</w:t>
      </w:r>
      <w:proofErr w:type="gramStart"/>
      <w:r>
        <w:rPr>
          <w:rFonts w:ascii="宋体" w:hAnsi="宋体" w:cs="宋体" w:hint="eastAsia"/>
          <w:color w:val="000000"/>
          <w:kern w:val="0"/>
          <w:sz w:val="20"/>
          <w:szCs w:val="20"/>
        </w:rPr>
        <w:t>采用皖华</w:t>
      </w:r>
      <w:proofErr w:type="gramEnd"/>
      <w:r>
        <w:rPr>
          <w:rFonts w:ascii="宋体" w:hAnsi="宋体" w:cs="宋体" w:hint="eastAsia"/>
          <w:color w:val="000000"/>
          <w:kern w:val="0"/>
          <w:sz w:val="20"/>
          <w:szCs w:val="20"/>
        </w:rPr>
        <w:t>18mm厚E1级环保防潮型刨花板，两面均贴贴面防火板；所有断面无崩边，柜门板及抽屉面板断面均采用ABS耐酸</w:t>
      </w:r>
      <w:proofErr w:type="gramStart"/>
      <w:r>
        <w:rPr>
          <w:rFonts w:ascii="宋体" w:hAnsi="宋体" w:cs="宋体" w:hint="eastAsia"/>
          <w:color w:val="000000"/>
          <w:kern w:val="0"/>
          <w:sz w:val="20"/>
          <w:szCs w:val="20"/>
        </w:rPr>
        <w:t>碱材料</w:t>
      </w:r>
      <w:proofErr w:type="gramEnd"/>
      <w:r>
        <w:rPr>
          <w:rFonts w:ascii="宋体" w:hAnsi="宋体" w:cs="宋体" w:hint="eastAsia"/>
          <w:color w:val="000000"/>
          <w:kern w:val="0"/>
          <w:sz w:val="20"/>
          <w:szCs w:val="20"/>
        </w:rPr>
        <w:t>一次注模成型封边，无拼接缝口，板边包裹贴紧无间隙，有效阻止空气中水汽侵蚀板材内芯，确保板材</w:t>
      </w:r>
      <w:proofErr w:type="gramStart"/>
      <w:r>
        <w:rPr>
          <w:rFonts w:ascii="宋体" w:hAnsi="宋体" w:cs="宋体" w:hint="eastAsia"/>
          <w:color w:val="000000"/>
          <w:kern w:val="0"/>
          <w:sz w:val="20"/>
          <w:szCs w:val="20"/>
        </w:rPr>
        <w:t>不</w:t>
      </w:r>
      <w:proofErr w:type="gramEnd"/>
      <w:r>
        <w:rPr>
          <w:rFonts w:ascii="宋体" w:hAnsi="宋体" w:cs="宋体" w:hint="eastAsia"/>
          <w:color w:val="000000"/>
          <w:kern w:val="0"/>
          <w:sz w:val="20"/>
          <w:szCs w:val="20"/>
        </w:rPr>
        <w:t>受潮变形。7.抽屉底板：</w:t>
      </w:r>
      <w:proofErr w:type="gramStart"/>
      <w:r>
        <w:rPr>
          <w:rFonts w:ascii="宋体" w:hAnsi="宋体" w:cs="宋体" w:hint="eastAsia"/>
          <w:color w:val="000000"/>
          <w:kern w:val="0"/>
          <w:sz w:val="20"/>
          <w:szCs w:val="20"/>
        </w:rPr>
        <w:t>采用皖华</w:t>
      </w:r>
      <w:proofErr w:type="gramEnd"/>
      <w:r>
        <w:rPr>
          <w:rFonts w:ascii="宋体" w:hAnsi="宋体" w:cs="宋体" w:hint="eastAsia"/>
          <w:color w:val="000000"/>
          <w:kern w:val="0"/>
          <w:sz w:val="20"/>
          <w:szCs w:val="20"/>
        </w:rPr>
        <w:t>12mm厚E1级环保防潮型双面高压三聚氰胺板；所有断面无崩边，断面经2mmPVC封边防水处理，四边倒角圆滑处理。所有板件采用三合一连接件，结构稳固，承重性能好且易于拆迁；★8.实验室专用导轨：采用DTC托底三节阻尼导轨可负载35kg、挂插式结构，无铆钉连接。表面经环氧树脂粉末喷涂，三节静音、带阻尼装置、有自闭功能。开合平稳，承重力强。★9.实验室专用铰链：采用华美钢制实验室专用铰链，开启度90-120度之间,支撑梁壁厚≧1.5mm,带液压缓冲，可拆卸。外型美观，使用过程中无噪音，表面镀镍，耐腐蚀、使用寿命长。10.拉手：采用实验室专用合金U型拉手，耐腐蚀性强。11.调整脚：采用镀锌螺杆制作，底座包覆防滑高强度塑料垫，防水防锈。12.防爆插座及基座：采用正泰国标万用电源插座，可根据使用功率，分别采用不同型号，具有防爆功能。13.管线：采用正泰国标电线，根据实验室用电量而选择不同粗细的铜芯线。</w:t>
      </w:r>
    </w:p>
    <w:p w:rsidR="00F71878" w:rsidRDefault="00F71878" w:rsidP="00F71878">
      <w:pPr>
        <w:ind w:firstLineChars="200" w:firstLine="480"/>
        <w:rPr>
          <w:sz w:val="28"/>
          <w:szCs w:val="28"/>
        </w:rPr>
      </w:pPr>
      <w:r>
        <w:rPr>
          <w:rFonts w:ascii="宋体" w:hAnsi="宋体" w:cs="宋体" w:hint="eastAsia"/>
          <w:color w:val="000000"/>
          <w:kern w:val="0"/>
          <w:sz w:val="24"/>
        </w:rPr>
        <w:t>实验室专用通风排毒橱柜（含通风系统）</w:t>
      </w:r>
    </w:p>
    <w:p w:rsidR="00F71878" w:rsidRDefault="00F71878" w:rsidP="00F71878">
      <w:pPr>
        <w:ind w:firstLineChars="200" w:firstLine="400"/>
        <w:rPr>
          <w:rFonts w:ascii="宋体" w:hAnsi="宋体" w:cs="宋体"/>
          <w:color w:val="000000"/>
          <w:kern w:val="0"/>
          <w:sz w:val="24"/>
        </w:rPr>
      </w:pPr>
      <w:r>
        <w:rPr>
          <w:rFonts w:ascii="宋体" w:hAnsi="宋体" w:cs="宋体" w:hint="eastAsia"/>
          <w:color w:val="000000"/>
          <w:kern w:val="0"/>
          <w:sz w:val="20"/>
          <w:szCs w:val="20"/>
        </w:rPr>
        <w:t>规格：1300*900*2300mm 台面部分：采用12.7mm实心理化板台面带阻水边，耐强酸强碱。上箱部分：1.外壳采用宝钢≧1.45mm冷轧钢板压制成型，</w:t>
      </w:r>
      <w:proofErr w:type="gramStart"/>
      <w:r>
        <w:rPr>
          <w:rFonts w:ascii="宋体" w:hAnsi="宋体" w:cs="宋体" w:hint="eastAsia"/>
          <w:color w:val="000000"/>
          <w:kern w:val="0"/>
          <w:sz w:val="20"/>
          <w:szCs w:val="20"/>
        </w:rPr>
        <w:t>表面经纯环氧树脂</w:t>
      </w:r>
      <w:proofErr w:type="gramEnd"/>
      <w:r>
        <w:rPr>
          <w:rFonts w:ascii="宋体" w:hAnsi="宋体" w:cs="宋体" w:hint="eastAsia"/>
          <w:color w:val="000000"/>
          <w:kern w:val="0"/>
          <w:sz w:val="20"/>
          <w:szCs w:val="20"/>
        </w:rPr>
        <w:t>粉末高温固化处理。2.内衬板、导流板：采用耐特佳6mm厚陶瓷板制作，耐强酸、强碱，有机溶剂，耐高温、长期使</w:t>
      </w:r>
      <w:r>
        <w:rPr>
          <w:rFonts w:ascii="宋体" w:hAnsi="宋体" w:cs="宋体" w:hint="eastAsia"/>
          <w:color w:val="000000"/>
          <w:kern w:val="0"/>
          <w:sz w:val="20"/>
          <w:szCs w:val="20"/>
        </w:rPr>
        <w:lastRenderedPageBreak/>
        <w:t>用不变形，可拆卸式，易清洁、易拆装。后背导流板导流三段式排风设计，其材质同内衬板,导流板安装位置与角度使排气分布均匀，无死角，在标准状况下，导流板上方与中、下方出口排风量比例各约50+10%，确保不同比重之气体均能有效排除。三段式导流板安装位置与角度能使排气均匀分布，确保不同比重气体均能有效排出。实验室专用通风排毒橱柜面风速及压损等性能参数符合美国SEFA标准。内衬板和内导流板的固定采用无铆钉设计和专用防腐材料连接件。所有的内衬板及导流板为可拆卸结构，方便清洗、拆装、更换。并在内衬板及导流板预留蒸馏架固定装置。3.视窗为≧6mm</w:t>
      </w:r>
      <w:proofErr w:type="gramStart"/>
      <w:r>
        <w:rPr>
          <w:rFonts w:ascii="宋体" w:hAnsi="宋体" w:cs="宋体" w:hint="eastAsia"/>
          <w:color w:val="000000"/>
          <w:kern w:val="0"/>
          <w:sz w:val="20"/>
          <w:szCs w:val="20"/>
        </w:rPr>
        <w:t>厚安全</w:t>
      </w:r>
      <w:proofErr w:type="gramEnd"/>
      <w:r>
        <w:rPr>
          <w:rFonts w:ascii="宋体" w:hAnsi="宋体" w:cs="宋体" w:hint="eastAsia"/>
          <w:color w:val="000000"/>
          <w:kern w:val="0"/>
          <w:sz w:val="20"/>
          <w:szCs w:val="20"/>
        </w:rPr>
        <w:t>防暴钢化玻璃，可以利用滑轮及配重上下开启，停于任意位置，视窗配重利用滑轮组连接，保证视窗的平稳开、关。在实验室专用通风排毒橱柜视窗与实验室专用通风排毒橱柜工作台面垂直闭合处，设计留有防止气体外溢的气流栅，用以防止因温差而产生的对流气体外溢。视窗玻璃可根据需要采用固定整体式或三块移动式设计，开启高度600mm。4.立面上设有日光灯开关、风机开关。电路配带过载及短路保护装置。5.通风采用PP耐蚀风管及PP罩顶。★6.面风速0.3-0.5m/s，噪音≤60dB。面风速与通风系统配套。7.照明：采用隐藏式且防爆、防潮的日光灯架，内装30W防爆设计日光灯2支，灯座为SUS不锈钢制品，并配有5mm以上防爆玻璃；台面照度达到400LUX；灯具及镇流器不与实验室专用通风排毒橱柜内的气流接触，且可拆卸设计，更换方便。8.插座：多功能220V, 10A-15A插座，3+2口插座，具备开关装置，带有自动闭合功能的PP材质安全防护盖，由耐高温材料制成（上柜体两侧各配置2个，共4个），配有漏电保护装置。★9.采用实验室专用通风排毒橱柜专用</w:t>
      </w:r>
      <w:proofErr w:type="gramStart"/>
      <w:r>
        <w:rPr>
          <w:rFonts w:ascii="宋体" w:hAnsi="宋体" w:cs="宋体" w:hint="eastAsia"/>
          <w:color w:val="000000"/>
          <w:kern w:val="0"/>
          <w:sz w:val="20"/>
          <w:szCs w:val="20"/>
        </w:rPr>
        <w:t>椭圆杯槽</w:t>
      </w:r>
      <w:proofErr w:type="gramEnd"/>
      <w:r>
        <w:rPr>
          <w:rFonts w:ascii="宋体" w:hAnsi="宋体" w:cs="宋体" w:hint="eastAsia"/>
          <w:color w:val="000000"/>
          <w:kern w:val="0"/>
          <w:sz w:val="20"/>
          <w:szCs w:val="20"/>
        </w:rPr>
        <w:t>:采用陶瓷材质（颜色黄色）,耐强酸碱及有机溶剂腐蚀，杯口椭圆形，上口外径尺寸≤240*155mm ，上口内径尺寸≥200*120mm，高度≤145mm,方便上下水接管安装（投标时提供样品一只）。下接反水弯，防腐蚀，具有防止水管阻塞功能，并易于拆卸；10.供水考克:每个实验室专用通风排毒橱柜安装1个,</w:t>
      </w:r>
      <w:proofErr w:type="gramStart"/>
      <w:r>
        <w:rPr>
          <w:rFonts w:ascii="宋体" w:hAnsi="宋体" w:cs="宋体" w:hint="eastAsia"/>
          <w:color w:val="000000"/>
          <w:kern w:val="0"/>
          <w:sz w:val="20"/>
          <w:szCs w:val="20"/>
        </w:rPr>
        <w:t>采用台雄实验室</w:t>
      </w:r>
      <w:proofErr w:type="gramEnd"/>
      <w:r>
        <w:rPr>
          <w:rFonts w:ascii="宋体" w:hAnsi="宋体" w:cs="宋体" w:hint="eastAsia"/>
          <w:color w:val="000000"/>
          <w:kern w:val="0"/>
          <w:sz w:val="20"/>
          <w:szCs w:val="20"/>
        </w:rPr>
        <w:t>专用铜制喷塑、陶瓷阀芯供水考克，尖嘴设计，可接皮管。</w:t>
      </w:r>
      <w:proofErr w:type="gramStart"/>
      <w:r>
        <w:rPr>
          <w:rFonts w:ascii="宋体" w:hAnsi="宋体" w:cs="宋体" w:hint="eastAsia"/>
          <w:color w:val="000000"/>
          <w:kern w:val="0"/>
          <w:sz w:val="20"/>
          <w:szCs w:val="20"/>
        </w:rPr>
        <w:t>下箱部分</w:t>
      </w:r>
      <w:proofErr w:type="gramEnd"/>
      <w:r>
        <w:rPr>
          <w:rFonts w:ascii="宋体" w:hAnsi="宋体" w:cs="宋体" w:hint="eastAsia"/>
          <w:color w:val="000000"/>
          <w:kern w:val="0"/>
          <w:sz w:val="20"/>
          <w:szCs w:val="20"/>
        </w:rPr>
        <w:t>：1.外壳采用1.5mm镀锌冷轧钢板压制成型，</w:t>
      </w:r>
      <w:proofErr w:type="gramStart"/>
      <w:r>
        <w:rPr>
          <w:rFonts w:ascii="宋体" w:hAnsi="宋体" w:cs="宋体" w:hint="eastAsia"/>
          <w:color w:val="000000"/>
          <w:kern w:val="0"/>
          <w:sz w:val="20"/>
          <w:szCs w:val="20"/>
        </w:rPr>
        <w:t>表面经纯环氧树脂</w:t>
      </w:r>
      <w:proofErr w:type="gramEnd"/>
      <w:r>
        <w:rPr>
          <w:rFonts w:ascii="宋体" w:hAnsi="宋体" w:cs="宋体" w:hint="eastAsia"/>
          <w:color w:val="000000"/>
          <w:kern w:val="0"/>
          <w:sz w:val="20"/>
          <w:szCs w:val="20"/>
        </w:rPr>
        <w:t>粉末高温固化处理，内衬6mm耐酸碱的理化板制作加以铆钉紧固。2.水、电、气的安装及检修：安装在实验室专用通风排毒橱柜两侧的封板内，并在侧板留有检修门；自带电动控制箱及过载保护装置，以保证实验室专用通风排毒橱柜内用电安全。3.地脚:采用实验室专用钢质可调脚，具有减震及调节高度(0～30mm之间)功能；有PVC包塑，承重力强、防潮、耐腐蚀。★4.实验室专用铰链：采用华美钢制实验室专用铰链，开启度90-120度之间,支撑梁壁厚≧1.5mm,带液压缓冲，可拆卸。外型美观，使用过程中无噪音，表面镀镍，耐腐蚀、使用寿命长。</w:t>
      </w:r>
    </w:p>
    <w:p w:rsidR="00F71878" w:rsidRDefault="00F71878" w:rsidP="00F71878">
      <w:pPr>
        <w:ind w:firstLineChars="200" w:firstLine="480"/>
        <w:rPr>
          <w:rFonts w:ascii="宋体" w:hAnsi="宋体" w:cs="宋体"/>
          <w:color w:val="000000"/>
          <w:kern w:val="0"/>
          <w:sz w:val="24"/>
        </w:rPr>
      </w:pPr>
      <w:bookmarkStart w:id="0" w:name="OLE_LINK17"/>
      <w:r>
        <w:rPr>
          <w:rFonts w:ascii="宋体" w:hAnsi="宋体" w:cs="宋体" w:hint="eastAsia"/>
          <w:color w:val="000000"/>
          <w:kern w:val="0"/>
          <w:sz w:val="24"/>
        </w:rPr>
        <w:t>居中试剂药品架</w:t>
      </w:r>
      <w:bookmarkEnd w:id="0"/>
    </w:p>
    <w:p w:rsidR="00F71878" w:rsidRDefault="00F71878" w:rsidP="00F71878">
      <w:pPr>
        <w:ind w:firstLineChars="200" w:firstLine="400"/>
        <w:rPr>
          <w:rFonts w:ascii="宋体" w:hAnsi="宋体" w:cs="宋体"/>
          <w:color w:val="000000"/>
          <w:kern w:val="0"/>
          <w:sz w:val="20"/>
          <w:szCs w:val="20"/>
        </w:rPr>
      </w:pPr>
      <w:r>
        <w:rPr>
          <w:rFonts w:ascii="宋体" w:hAnsi="宋体" w:cs="宋体" w:hint="eastAsia"/>
          <w:color w:val="000000"/>
          <w:kern w:val="0"/>
          <w:sz w:val="20"/>
          <w:szCs w:val="20"/>
        </w:rPr>
        <w:t>规格：4500*400*750mm，支柱采用100*40*1.5mm钢支柱，支柱调节架经过环氧树脂静电喷涂处理。支撑</w:t>
      </w:r>
      <w:proofErr w:type="gramStart"/>
      <w:r>
        <w:rPr>
          <w:rFonts w:ascii="宋体" w:hAnsi="宋体" w:cs="宋体" w:hint="eastAsia"/>
          <w:color w:val="000000"/>
          <w:kern w:val="0"/>
          <w:sz w:val="20"/>
          <w:szCs w:val="20"/>
        </w:rPr>
        <w:t>翼</w:t>
      </w:r>
      <w:proofErr w:type="gramEnd"/>
      <w:r>
        <w:rPr>
          <w:rFonts w:ascii="宋体" w:hAnsi="宋体" w:cs="宋体" w:hint="eastAsia"/>
          <w:color w:val="000000"/>
          <w:kern w:val="0"/>
          <w:sz w:val="20"/>
          <w:szCs w:val="20"/>
        </w:rPr>
        <w:t>采用2.0mm冷扎钢板一次模具成型，表面经过环氧树脂静电喷涂处理。调节架可随意调整高度，可依需要选择一层或两层调节。护拦为模具定型不锈钢一次加工成型，抑菌，易清洁，耐腐蚀。保护药品不宜滑落。</w:t>
      </w:r>
    </w:p>
    <w:p w:rsidR="00770505" w:rsidRDefault="00F71878" w:rsidP="00F71878">
      <w:r>
        <w:rPr>
          <w:rFonts w:ascii="宋体" w:hAnsi="宋体" w:cs="宋体" w:hint="eastAsia"/>
          <w:b/>
          <w:bCs/>
          <w:color w:val="000000"/>
          <w:kern w:val="0"/>
          <w:sz w:val="20"/>
          <w:szCs w:val="20"/>
        </w:rPr>
        <w:t>投标时需提供小样：导轨一根、铰链一只、通风排毒橱柜专用</w:t>
      </w:r>
      <w:proofErr w:type="gramStart"/>
      <w:r>
        <w:rPr>
          <w:rFonts w:ascii="宋体" w:hAnsi="宋体" w:cs="宋体" w:hint="eastAsia"/>
          <w:b/>
          <w:bCs/>
          <w:color w:val="000000"/>
          <w:kern w:val="0"/>
          <w:sz w:val="20"/>
          <w:szCs w:val="20"/>
        </w:rPr>
        <w:t>椭圆杯槽</w:t>
      </w:r>
      <w:proofErr w:type="gramEnd"/>
      <w:r>
        <w:rPr>
          <w:rFonts w:ascii="宋体" w:hAnsi="宋体" w:cs="宋体" w:hint="eastAsia"/>
          <w:b/>
          <w:bCs/>
          <w:color w:val="000000"/>
          <w:kern w:val="0"/>
          <w:sz w:val="20"/>
          <w:szCs w:val="20"/>
        </w:rPr>
        <w:t>一个。样品提供不全或不符合参数要求作废标处理。</w:t>
      </w:r>
      <w:bookmarkStart w:id="1" w:name="_GoBack"/>
      <w:bookmarkEnd w:id="1"/>
    </w:p>
    <w:sectPr w:rsidR="00770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878"/>
    <w:rsid w:val="000B6C31"/>
    <w:rsid w:val="00297386"/>
    <w:rsid w:val="00770505"/>
    <w:rsid w:val="00F7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4DA61-0FC5-4082-B962-433E4539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rsid w:val="00F71878"/>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2355</Characters>
  <Application>Microsoft Office Word</Application>
  <DocSecurity>0</DocSecurity>
  <Lines>19</Lines>
  <Paragraphs>5</Paragraphs>
  <ScaleCrop>false</ScaleCrop>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cui hl</dc:creator>
  <cp:keywords/>
  <dc:description/>
  <cp:lastModifiedBy>cui hl</cp:lastModifiedBy>
  <cp:revision>1</cp:revision>
  <dcterms:created xsi:type="dcterms:W3CDTF">2018-11-01T02:56:00Z</dcterms:created>
  <dcterms:modified xsi:type="dcterms:W3CDTF">2018-11-01T02:56:00Z</dcterms:modified>
</cp:coreProperties>
</file>