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rFonts w:hint="eastAsia" w:ascii="黑体" w:hAnsi="黑体" w:eastAsia="黑体" w:cs="黑体"/>
          <w:b/>
          <w:bCs/>
          <w:spacing w:val="0"/>
          <w:kern w:val="0"/>
          <w:position w:val="0"/>
          <w:sz w:val="32"/>
          <w:szCs w:val="32"/>
          <w:lang w:val="en-US" w:eastAsia="zh-CN"/>
        </w:rPr>
      </w:pPr>
      <w:bookmarkStart w:id="0" w:name="_Toc119332144"/>
      <w:r>
        <w:rPr>
          <w:rFonts w:hint="eastAsia" w:ascii="黑体" w:hAnsi="黑体" w:eastAsia="黑体" w:cs="黑体"/>
          <w:b/>
          <w:bCs/>
          <w:spacing w:val="0"/>
          <w:kern w:val="0"/>
          <w:position w:val="0"/>
          <w:sz w:val="32"/>
          <w:szCs w:val="32"/>
          <w:lang w:val="en-US" w:eastAsia="zh-CN"/>
        </w:rPr>
        <w:t>合肥大学</w:t>
      </w:r>
      <w:r>
        <w:rPr>
          <w:rFonts w:hint="eastAsia" w:ascii="黑体" w:hAnsi="黑体" w:eastAsia="黑体" w:cs="黑体"/>
          <w:b/>
          <w:bCs/>
          <w:spacing w:val="0"/>
          <w:kern w:val="0"/>
          <w:position w:val="0"/>
          <w:sz w:val="32"/>
          <w:szCs w:val="32"/>
        </w:rPr>
        <w:t>本科毕业设计（论文）</w:t>
      </w:r>
      <w:bookmarkEnd w:id="0"/>
      <w:r>
        <w:rPr>
          <w:rFonts w:hint="eastAsia" w:ascii="黑体" w:hAnsi="黑体" w:eastAsia="黑体" w:cs="黑体"/>
          <w:b/>
          <w:sz w:val="32"/>
          <w:szCs w:val="32"/>
        </w:rPr>
        <w:t>撰写规范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本科毕业设计（论文）是本科人才培养的重要环节，是培养大学生综合运用所学理论知识和专业技能解决实际问题能力的主要途径。为加强本科毕业设计（论文）管理，不断提高本科毕业设计（论文）的质量和水平，根据国家相关标准和规定，特制定本撰写规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本科毕业设计（论文）各项内容的具体要求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jc w:val="center"/>
              <w:rPr>
                <w:rFonts w:hint="eastAsia" w:ascii="宋体" w:hAnsi="宋体"/>
                <w:b/>
                <w:sz w:val="24"/>
              </w:rPr>
            </w:pPr>
            <w:r>
              <w:rPr>
                <w:rFonts w:hint="eastAsia" w:ascii="宋体" w:hAnsi="宋体"/>
                <w:b/>
                <w:sz w:val="24"/>
              </w:rPr>
              <w:t>内容</w:t>
            </w:r>
          </w:p>
        </w:tc>
        <w:tc>
          <w:tcPr>
            <w:tcW w:w="7200" w:type="dxa"/>
            <w:noWrap w:val="0"/>
            <w:vAlign w:val="center"/>
          </w:tcPr>
          <w:p>
            <w:pPr>
              <w:jc w:val="center"/>
              <w:rPr>
                <w:rFonts w:hint="eastAsia" w:ascii="宋体" w:hAnsi="宋体"/>
                <w:b/>
                <w:sz w:val="24"/>
              </w:rPr>
            </w:pPr>
            <w:r>
              <w:rPr>
                <w:rFonts w:hint="eastAsia" w:ascii="宋体" w:hAnsi="宋体"/>
                <w:b/>
                <w:sz w:val="24"/>
              </w:rPr>
              <w:t>要求</w:t>
            </w:r>
          </w:p>
        </w:tc>
        <w:tc>
          <w:tcPr>
            <w:tcW w:w="1620" w:type="dxa"/>
            <w:noWrap w:val="0"/>
            <w:vAlign w:val="center"/>
          </w:tcPr>
          <w:p>
            <w:pPr>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内封（正扉页）</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应按内封所列各项内容认真填写，院系、专业的名称应填写全称</w:t>
            </w:r>
          </w:p>
        </w:tc>
        <w:tc>
          <w:tcPr>
            <w:tcW w:w="1620"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学校统一制定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中文题目</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应简明扼要，应避免过宽、过大、过空，应反映出研究的范围、层次和深度，一般不超过20个汉字。可以根据需要使用副标题，用以补充说明论文中的特定内容。论文题目应避免使用生僻的缩略词、字符、代号等。</w:t>
            </w:r>
          </w:p>
        </w:tc>
        <w:tc>
          <w:tcPr>
            <w:tcW w:w="1620" w:type="dxa"/>
            <w:vMerge w:val="restart"/>
            <w:noWrap w:val="0"/>
            <w:tcMar>
              <w:top w:w="28" w:type="dxa"/>
              <w:bottom w:w="28" w:type="dxa"/>
            </w:tcMar>
            <w:vAlign w:val="center"/>
          </w:tcPr>
          <w:p>
            <w:pPr>
              <w:rPr>
                <w:rFonts w:hint="eastAsia" w:ascii="宋体" w:hAnsi="宋体"/>
                <w:sz w:val="18"/>
                <w:szCs w:val="18"/>
              </w:rPr>
            </w:pPr>
            <w:r>
              <w:rPr>
                <w:rFonts w:hint="eastAsia" w:ascii="宋体" w:hAnsi="宋体"/>
                <w:sz w:val="18"/>
                <w:szCs w:val="18"/>
              </w:rPr>
              <w:t>另起页，同一页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摘要</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应准确概括论文的实质性内容，包括目的、方法、结果和结论四个要素，不分段，不引用公式图表，不作标注，一般不少于150字。</w:t>
            </w:r>
          </w:p>
        </w:tc>
        <w:tc>
          <w:tcPr>
            <w:tcW w:w="1620" w:type="dxa"/>
            <w:vMerge w:val="continue"/>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关键词</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根据正文内容及论文主题选取，一般为3－8个，各关键词之间</w:t>
            </w:r>
            <w:r>
              <w:rPr>
                <w:rFonts w:ascii="宋体" w:hAnsi="宋体"/>
                <w:sz w:val="18"/>
                <w:szCs w:val="18"/>
              </w:rPr>
              <w:t>以分号分隔</w:t>
            </w:r>
            <w:r>
              <w:rPr>
                <w:rFonts w:hint="eastAsia" w:ascii="宋体" w:hAnsi="宋体"/>
                <w:sz w:val="18"/>
                <w:szCs w:val="18"/>
              </w:rPr>
              <w:t>。</w:t>
            </w:r>
          </w:p>
        </w:tc>
        <w:tc>
          <w:tcPr>
            <w:tcW w:w="1620" w:type="dxa"/>
            <w:vMerge w:val="continue"/>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eastAsia="宋体"/>
                <w:sz w:val="18"/>
                <w:szCs w:val="18"/>
                <w:lang w:eastAsia="zh-CN"/>
              </w:rPr>
            </w:pPr>
            <w:r>
              <w:rPr>
                <w:rFonts w:hint="eastAsia" w:ascii="宋体" w:hAnsi="宋体"/>
                <w:sz w:val="18"/>
                <w:szCs w:val="18"/>
                <w:lang w:val="en-US" w:eastAsia="zh-CN"/>
              </w:rPr>
              <w:t>Title</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lang w:val="en-US" w:eastAsia="zh-CN"/>
              </w:rPr>
              <w:t>外文题目</w:t>
            </w:r>
            <w:r>
              <w:rPr>
                <w:rFonts w:hint="eastAsia" w:ascii="宋体" w:hAnsi="宋体"/>
                <w:sz w:val="18"/>
                <w:szCs w:val="18"/>
              </w:rPr>
              <w:t>应与中文题目相对应，可以省去定冠词和不定冠词(如</w:t>
            </w:r>
            <w:r>
              <w:rPr>
                <w:rFonts w:ascii="宋体" w:hAnsi="宋体"/>
                <w:sz w:val="18"/>
                <w:szCs w:val="18"/>
              </w:rPr>
              <w:t>the</w:t>
            </w:r>
            <w:r>
              <w:rPr>
                <w:rFonts w:hint="eastAsia" w:ascii="宋体" w:hAnsi="宋体"/>
                <w:sz w:val="18"/>
                <w:szCs w:val="18"/>
              </w:rPr>
              <w:t>、</w:t>
            </w:r>
            <w:r>
              <w:rPr>
                <w:rFonts w:ascii="宋体" w:hAnsi="宋体"/>
                <w:sz w:val="18"/>
                <w:szCs w:val="18"/>
              </w:rPr>
              <w:t>a</w:t>
            </w:r>
            <w:r>
              <w:rPr>
                <w:rFonts w:hint="eastAsia" w:ascii="宋体" w:hAnsi="宋体"/>
                <w:sz w:val="18"/>
                <w:szCs w:val="18"/>
              </w:rPr>
              <w:t>、</w:t>
            </w:r>
            <w:r>
              <w:rPr>
                <w:rFonts w:ascii="宋体" w:hAnsi="宋体"/>
                <w:sz w:val="18"/>
                <w:szCs w:val="18"/>
              </w:rPr>
              <w:t>an</w:t>
            </w:r>
            <w:r>
              <w:rPr>
                <w:rFonts w:hint="eastAsia" w:ascii="宋体" w:hAnsi="宋体"/>
                <w:sz w:val="18"/>
                <w:szCs w:val="18"/>
              </w:rPr>
              <w:t>等)，单词应连续书写，除连词、介词等虚词外，首位字母都要大写。</w:t>
            </w:r>
          </w:p>
        </w:tc>
        <w:tc>
          <w:tcPr>
            <w:tcW w:w="1620" w:type="dxa"/>
            <w:vMerge w:val="restart"/>
            <w:noWrap w:val="0"/>
            <w:tcMar>
              <w:top w:w="28" w:type="dxa"/>
              <w:bottom w:w="28" w:type="dxa"/>
            </w:tcMar>
            <w:vAlign w:val="center"/>
          </w:tcPr>
          <w:p>
            <w:pPr>
              <w:rPr>
                <w:rFonts w:hint="eastAsia" w:ascii="宋体" w:hAnsi="宋体"/>
                <w:sz w:val="18"/>
                <w:szCs w:val="18"/>
              </w:rPr>
            </w:pPr>
            <w:r>
              <w:rPr>
                <w:rFonts w:hint="eastAsia" w:ascii="宋体" w:hAnsi="宋体"/>
                <w:sz w:val="18"/>
                <w:szCs w:val="18"/>
              </w:rPr>
              <w:t>另起页，同一页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Abstract</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lang w:val="en-US" w:eastAsia="zh-CN"/>
              </w:rPr>
              <w:t>外文摘要</w:t>
            </w:r>
            <w:r>
              <w:rPr>
                <w:rFonts w:hint="eastAsia" w:ascii="宋体" w:hAnsi="宋体"/>
                <w:sz w:val="18"/>
                <w:szCs w:val="18"/>
              </w:rPr>
              <w:t>与中文摘要内容相对应。</w:t>
            </w:r>
          </w:p>
        </w:tc>
        <w:tc>
          <w:tcPr>
            <w:tcW w:w="1620" w:type="dxa"/>
            <w:vMerge w:val="continue"/>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Key words</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lang w:val="en-US" w:eastAsia="zh-CN"/>
              </w:rPr>
              <w:t>外文关键词</w:t>
            </w:r>
            <w:r>
              <w:rPr>
                <w:rFonts w:hint="eastAsia" w:ascii="宋体" w:hAnsi="宋体"/>
                <w:sz w:val="18"/>
                <w:szCs w:val="18"/>
              </w:rPr>
              <w:t>与中文的关键词相对应。单词小写，词与词之间</w:t>
            </w:r>
            <w:r>
              <w:rPr>
                <w:rFonts w:ascii="宋体" w:hAnsi="宋体"/>
                <w:sz w:val="18"/>
                <w:szCs w:val="18"/>
              </w:rPr>
              <w:t>以分号分隔</w:t>
            </w:r>
            <w:r>
              <w:rPr>
                <w:rFonts w:hint="eastAsia" w:ascii="宋体" w:hAnsi="宋体"/>
                <w:sz w:val="18"/>
                <w:szCs w:val="18"/>
              </w:rPr>
              <w:t>。</w:t>
            </w:r>
          </w:p>
        </w:tc>
        <w:tc>
          <w:tcPr>
            <w:tcW w:w="1620" w:type="dxa"/>
            <w:vMerge w:val="continue"/>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目录</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按论文各级标题的层次结构加注页码，一般只列出三级标题。</w:t>
            </w:r>
          </w:p>
        </w:tc>
        <w:tc>
          <w:tcPr>
            <w:tcW w:w="1620"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另起页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lang w:val="en-US" w:eastAsia="zh-CN"/>
              </w:rPr>
              <w:t>前言</w:t>
            </w:r>
            <w:r>
              <w:rPr>
                <w:rFonts w:hint="eastAsia" w:ascii="宋体" w:hAnsi="宋体"/>
                <w:sz w:val="18"/>
                <w:szCs w:val="18"/>
              </w:rPr>
              <w:t>（</w:t>
            </w:r>
            <w:r>
              <w:rPr>
                <w:rFonts w:hint="eastAsia" w:ascii="宋体" w:hAnsi="宋体"/>
                <w:sz w:val="18"/>
                <w:szCs w:val="18"/>
                <w:lang w:val="en-US" w:eastAsia="zh-CN"/>
              </w:rPr>
              <w:t>引言、</w:t>
            </w:r>
            <w:r>
              <w:rPr>
                <w:rFonts w:hint="eastAsia" w:ascii="宋体" w:hAnsi="宋体"/>
                <w:sz w:val="18"/>
                <w:szCs w:val="18"/>
              </w:rPr>
              <w:t>绪论）</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向读者说明研究脉络，使读者对论文有一个总体的认识和了解，内容应包括研究的目的、范围、背景；研究的理论依据、实验基础和研究方法；研究的预期结果及其地位、作用和意义等。</w:t>
            </w:r>
          </w:p>
        </w:tc>
        <w:tc>
          <w:tcPr>
            <w:tcW w:w="1620"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另起页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正文主体</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应做到内容详略得当，逻辑层次清楚，描述准确，论述有力，标点符号使用规范，无语病。</w:t>
            </w:r>
          </w:p>
        </w:tc>
        <w:tc>
          <w:tcPr>
            <w:tcW w:w="1620" w:type="dxa"/>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结论（结束语）</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ascii="宋体" w:hAnsi="宋体"/>
                <w:sz w:val="18"/>
                <w:szCs w:val="18"/>
              </w:rPr>
              <w:t>是</w:t>
            </w:r>
            <w:r>
              <w:rPr>
                <w:rFonts w:hint="eastAsia" w:ascii="宋体" w:hAnsi="宋体"/>
                <w:sz w:val="18"/>
                <w:szCs w:val="18"/>
              </w:rPr>
              <w:t>对论文</w:t>
            </w:r>
            <w:r>
              <w:rPr>
                <w:rFonts w:ascii="宋体" w:hAnsi="宋体"/>
                <w:sz w:val="18"/>
                <w:szCs w:val="18"/>
              </w:rPr>
              <w:t>最终的、总体的</w:t>
            </w:r>
            <w:r>
              <w:rPr>
                <w:rFonts w:hint="eastAsia" w:ascii="宋体" w:hAnsi="宋体"/>
                <w:sz w:val="18"/>
                <w:szCs w:val="18"/>
              </w:rPr>
              <w:t>结论</w:t>
            </w:r>
            <w:r>
              <w:rPr>
                <w:rFonts w:ascii="宋体" w:hAnsi="宋体"/>
                <w:sz w:val="18"/>
                <w:szCs w:val="18"/>
              </w:rPr>
              <w:t>，不是正文中各段小结的简单重复。应准确、完整、明确、精练。也可以没有结论而进行必要的讨论。可以提出建议、研究设想、仪器设备改进意见、尚待解决的问题</w:t>
            </w:r>
            <w:r>
              <w:rPr>
                <w:rFonts w:hint="eastAsia" w:ascii="宋体" w:hAnsi="宋体"/>
                <w:sz w:val="18"/>
                <w:szCs w:val="18"/>
              </w:rPr>
              <w:t>、对后续研究的</w:t>
            </w:r>
            <w:r>
              <w:rPr>
                <w:rFonts w:hint="eastAsia" w:ascii="宋体" w:hAnsi="宋体"/>
                <w:sz w:val="18"/>
                <w:szCs w:val="18"/>
                <w:lang w:val="en-US" w:eastAsia="zh-CN"/>
              </w:rPr>
              <w:t>思考</w:t>
            </w:r>
            <w:r>
              <w:rPr>
                <w:rFonts w:hint="eastAsia" w:ascii="宋体" w:hAnsi="宋体"/>
                <w:sz w:val="18"/>
                <w:szCs w:val="18"/>
              </w:rPr>
              <w:t>等。</w:t>
            </w:r>
          </w:p>
        </w:tc>
        <w:tc>
          <w:tcPr>
            <w:tcW w:w="1620" w:type="dxa"/>
            <w:noWrap w:val="0"/>
            <w:tcMar>
              <w:top w:w="28" w:type="dxa"/>
              <w:bottom w:w="28" w:type="dxa"/>
            </w:tcMar>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主要参考文献（含注释）</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列出引用和参考的各类文献，参考文献</w:t>
            </w:r>
            <w:r>
              <w:rPr>
                <w:rStyle w:val="25"/>
                <w:rFonts w:ascii="宋体" w:hAnsi="宋体"/>
                <w:sz w:val="18"/>
                <w:szCs w:val="18"/>
              </w:rPr>
              <w:t>采用顺序编码制</w:t>
            </w:r>
            <w:r>
              <w:rPr>
                <w:rStyle w:val="25"/>
                <w:rFonts w:hint="eastAsia" w:ascii="宋体" w:hAnsi="宋体"/>
                <w:sz w:val="18"/>
                <w:szCs w:val="18"/>
              </w:rPr>
              <w:t>，</w:t>
            </w:r>
            <w:r>
              <w:rPr>
                <w:rStyle w:val="26"/>
                <w:rFonts w:ascii="宋体" w:hAnsi="宋体"/>
                <w:color w:val="auto"/>
                <w:sz w:val="18"/>
                <w:szCs w:val="18"/>
              </w:rPr>
              <w:t>按正文中引用文献出现的先后顺序连续编码,并将序号置于方括号中。</w:t>
            </w:r>
            <w:r>
              <w:rPr>
                <w:rFonts w:hint="eastAsia"/>
                <w:sz w:val="18"/>
                <w:szCs w:val="18"/>
              </w:rPr>
              <w:t>文献在</w:t>
            </w:r>
            <w:r>
              <w:rPr>
                <w:rStyle w:val="26"/>
                <w:rFonts w:hint="eastAsia" w:ascii="宋体" w:hAnsi="宋体"/>
                <w:color w:val="auto"/>
                <w:sz w:val="18"/>
                <w:szCs w:val="18"/>
              </w:rPr>
              <w:t>论文中</w:t>
            </w:r>
            <w:r>
              <w:rPr>
                <w:rFonts w:hint="eastAsia"/>
                <w:sz w:val="18"/>
                <w:szCs w:val="18"/>
              </w:rPr>
              <w:t>只被引用一次的，在参考文献中标注页码范围；</w:t>
            </w:r>
            <w:r>
              <w:rPr>
                <w:rStyle w:val="25"/>
                <w:rFonts w:ascii="宋体" w:hAnsi="宋体"/>
                <w:sz w:val="18"/>
                <w:szCs w:val="18"/>
              </w:rPr>
              <w:t>同一文献在论</w:t>
            </w:r>
            <w:r>
              <w:rPr>
                <w:rStyle w:val="25"/>
                <w:rFonts w:hint="eastAsia" w:ascii="宋体" w:hAnsi="宋体"/>
                <w:sz w:val="18"/>
                <w:szCs w:val="18"/>
              </w:rPr>
              <w:t>文</w:t>
            </w:r>
            <w:r>
              <w:rPr>
                <w:rStyle w:val="25"/>
                <w:rFonts w:ascii="宋体" w:hAnsi="宋体"/>
                <w:sz w:val="18"/>
                <w:szCs w:val="18"/>
              </w:rPr>
              <w:t>中被</w:t>
            </w:r>
            <w:r>
              <w:rPr>
                <w:rStyle w:val="25"/>
                <w:rFonts w:hint="eastAsia" w:ascii="宋体" w:hAnsi="宋体"/>
                <w:sz w:val="18"/>
                <w:szCs w:val="18"/>
              </w:rPr>
              <w:t>多次</w:t>
            </w:r>
            <w:r>
              <w:rPr>
                <w:rStyle w:val="25"/>
                <w:rFonts w:ascii="宋体" w:hAnsi="宋体"/>
                <w:sz w:val="18"/>
                <w:szCs w:val="18"/>
              </w:rPr>
              <w:t>引用</w:t>
            </w:r>
            <w:r>
              <w:rPr>
                <w:rStyle w:val="25"/>
                <w:rFonts w:hint="eastAsia" w:ascii="宋体" w:hAnsi="宋体"/>
                <w:sz w:val="18"/>
                <w:szCs w:val="18"/>
              </w:rPr>
              <w:t>的</w:t>
            </w:r>
            <w:r>
              <w:rPr>
                <w:rStyle w:val="25"/>
                <w:rFonts w:ascii="宋体" w:hAnsi="宋体"/>
                <w:sz w:val="18"/>
                <w:szCs w:val="18"/>
              </w:rPr>
              <w:t>，</w:t>
            </w:r>
            <w:r>
              <w:rPr>
                <w:rStyle w:val="25"/>
                <w:rFonts w:hint="eastAsia" w:ascii="宋体" w:hAnsi="宋体"/>
                <w:sz w:val="18"/>
                <w:szCs w:val="18"/>
              </w:rPr>
              <w:t>该文献</w:t>
            </w:r>
            <w:r>
              <w:rPr>
                <w:rStyle w:val="25"/>
                <w:rFonts w:ascii="宋体" w:hAnsi="宋体"/>
                <w:sz w:val="18"/>
                <w:szCs w:val="18"/>
              </w:rPr>
              <w:t>只编</w:t>
            </w:r>
            <w:r>
              <w:rPr>
                <w:rStyle w:val="25"/>
                <w:rFonts w:hint="eastAsia" w:ascii="宋体" w:hAnsi="宋体"/>
                <w:sz w:val="18"/>
                <w:szCs w:val="18"/>
              </w:rPr>
              <w:t>一</w:t>
            </w:r>
            <w:r>
              <w:rPr>
                <w:rStyle w:val="25"/>
                <w:rFonts w:ascii="宋体" w:hAnsi="宋体"/>
                <w:sz w:val="18"/>
                <w:szCs w:val="18"/>
              </w:rPr>
              <w:t>个号，引文页码</w:t>
            </w:r>
            <w:r>
              <w:rPr>
                <w:rStyle w:val="25"/>
                <w:rFonts w:hint="eastAsia" w:ascii="宋体" w:hAnsi="宋体"/>
                <w:sz w:val="18"/>
                <w:szCs w:val="18"/>
              </w:rPr>
              <w:t>范围在正文中标注</w:t>
            </w:r>
            <w:r>
              <w:rPr>
                <w:rStyle w:val="25"/>
                <w:rFonts w:ascii="宋体" w:hAnsi="宋体"/>
                <w:sz w:val="18"/>
                <w:szCs w:val="18"/>
              </w:rPr>
              <w:t>，</w:t>
            </w:r>
            <w:r>
              <w:rPr>
                <w:rStyle w:val="25"/>
                <w:rFonts w:hint="eastAsia" w:ascii="宋体" w:hAnsi="宋体"/>
                <w:sz w:val="18"/>
                <w:szCs w:val="18"/>
              </w:rPr>
              <w:t>在主要参考</w:t>
            </w:r>
            <w:r>
              <w:rPr>
                <w:rStyle w:val="25"/>
                <w:rFonts w:ascii="宋体" w:hAnsi="宋体"/>
                <w:sz w:val="18"/>
                <w:szCs w:val="18"/>
              </w:rPr>
              <w:t>文献中不再</w:t>
            </w:r>
            <w:r>
              <w:rPr>
                <w:rStyle w:val="25"/>
                <w:rFonts w:hint="eastAsia" w:ascii="宋体" w:hAnsi="宋体"/>
                <w:sz w:val="18"/>
                <w:szCs w:val="18"/>
              </w:rPr>
              <w:t>标注</w:t>
            </w:r>
            <w:r>
              <w:rPr>
                <w:rStyle w:val="25"/>
                <w:rFonts w:ascii="宋体" w:hAnsi="宋体"/>
                <w:sz w:val="18"/>
                <w:szCs w:val="18"/>
              </w:rPr>
              <w:t>。</w:t>
            </w:r>
            <w:r>
              <w:rPr>
                <w:rStyle w:val="25"/>
                <w:rFonts w:hint="eastAsia" w:ascii="宋体" w:hAnsi="宋体"/>
                <w:sz w:val="18"/>
                <w:szCs w:val="18"/>
              </w:rPr>
              <w:t>（详见写作模板）</w:t>
            </w:r>
          </w:p>
        </w:tc>
        <w:tc>
          <w:tcPr>
            <w:tcW w:w="162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6"/>
                <w:szCs w:val="16"/>
                <w:lang w:val="en-US" w:eastAsia="zh-CN"/>
              </w:rPr>
              <w:t>参考</w:t>
            </w:r>
            <w:r>
              <w:rPr>
                <w:rFonts w:hint="eastAsia" w:ascii="宋体" w:hAnsi="宋体"/>
                <w:sz w:val="16"/>
                <w:szCs w:val="16"/>
              </w:rPr>
              <w:t>《中华人民共和国文后参考文献著录规则》GB/T7714-20</w:t>
            </w:r>
            <w:r>
              <w:rPr>
                <w:rFonts w:hint="eastAsia" w:ascii="宋体" w:hAnsi="宋体"/>
                <w:sz w:val="16"/>
                <w:szCs w:val="16"/>
                <w:lang w:val="en-US" w:eastAsia="zh-CN"/>
              </w:rPr>
              <w:t>1</w:t>
            </w:r>
            <w:r>
              <w:rPr>
                <w:rFonts w:hint="eastAsia" w:ascii="宋体" w:hAnsi="宋体"/>
                <w:sz w:val="16"/>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附录</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可列出一些与论文内容相关的重要文献或具有重要参考意义的文献资料</w:t>
            </w:r>
            <w:r>
              <w:rPr>
                <w:rFonts w:hint="eastAsia" w:ascii="宋体" w:hAnsi="宋体"/>
                <w:sz w:val="18"/>
                <w:szCs w:val="18"/>
                <w:lang w:eastAsia="zh-CN"/>
              </w:rPr>
              <w:t>；</w:t>
            </w:r>
            <w:r>
              <w:rPr>
                <w:rFonts w:hint="eastAsia" w:ascii="宋体" w:hAnsi="宋体"/>
                <w:sz w:val="18"/>
                <w:szCs w:val="18"/>
              </w:rPr>
              <w:t>作者或导师所做的与本论文有关的成果复印件。要求用A4纸复印附于参考文献后。多个附录可用“附录A”、“附录B”、“附录C”等进行标注。</w:t>
            </w:r>
          </w:p>
        </w:tc>
        <w:tc>
          <w:tcPr>
            <w:tcW w:w="1620" w:type="dxa"/>
            <w:noWrap w:val="0"/>
            <w:tcMar>
              <w:top w:w="28" w:type="dxa"/>
              <w:bottom w:w="28" w:type="dxa"/>
            </w:tcMar>
            <w:vAlign w:val="center"/>
          </w:tcPr>
          <w:p>
            <w:pPr>
              <w:spacing w:line="240" w:lineRule="exact"/>
              <w:rPr>
                <w:rFonts w:hint="eastAsia" w:ascii="宋体" w:hAnsi="宋体"/>
                <w:sz w:val="18"/>
                <w:szCs w:val="18"/>
              </w:rPr>
            </w:pPr>
            <w:r>
              <w:rPr>
                <w:rFonts w:hint="eastAsia" w:ascii="宋体" w:hAnsi="宋体"/>
                <w:sz w:val="18"/>
                <w:szCs w:val="18"/>
              </w:rPr>
              <w:t>每项附录均应另起一页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致谢</w:t>
            </w:r>
          </w:p>
        </w:tc>
        <w:tc>
          <w:tcPr>
            <w:tcW w:w="7200" w:type="dxa"/>
            <w:noWrap w:val="0"/>
            <w:tcMar>
              <w:top w:w="28" w:type="dxa"/>
              <w:bottom w:w="28" w:type="dxa"/>
            </w:tcMar>
            <w:vAlign w:val="center"/>
          </w:tcPr>
          <w:p>
            <w:pPr>
              <w:spacing w:line="240" w:lineRule="exact"/>
              <w:rPr>
                <w:rFonts w:hint="eastAsia" w:ascii="宋体" w:hAnsi="宋体"/>
                <w:sz w:val="18"/>
                <w:szCs w:val="18"/>
              </w:rPr>
            </w:pPr>
            <w:r>
              <w:rPr>
                <w:rFonts w:ascii="宋体" w:hAnsi="宋体"/>
                <w:sz w:val="18"/>
                <w:szCs w:val="18"/>
              </w:rPr>
              <w:t>可以对协助完成研究工作和提供便利条件的组织或个人</w:t>
            </w:r>
            <w:r>
              <w:rPr>
                <w:rFonts w:hint="eastAsia" w:ascii="宋体" w:hAnsi="宋体"/>
                <w:sz w:val="18"/>
                <w:szCs w:val="18"/>
              </w:rPr>
              <w:t>、</w:t>
            </w:r>
            <w:r>
              <w:rPr>
                <w:rFonts w:ascii="宋体" w:hAnsi="宋体"/>
                <w:sz w:val="18"/>
                <w:szCs w:val="18"/>
              </w:rPr>
              <w:t>在研究工作中提出建议和提供帮助的人</w:t>
            </w:r>
            <w:r>
              <w:rPr>
                <w:rFonts w:hint="eastAsia" w:ascii="宋体" w:hAnsi="宋体"/>
                <w:sz w:val="18"/>
                <w:szCs w:val="18"/>
              </w:rPr>
              <w:t>、</w:t>
            </w:r>
            <w:r>
              <w:rPr>
                <w:rFonts w:ascii="宋体" w:hAnsi="宋体"/>
                <w:sz w:val="18"/>
                <w:szCs w:val="18"/>
              </w:rPr>
              <w:t>给予转载和引用权的资料的所有者</w:t>
            </w:r>
            <w:r>
              <w:rPr>
                <w:rFonts w:hint="eastAsia" w:ascii="宋体" w:hAnsi="宋体"/>
                <w:sz w:val="18"/>
                <w:szCs w:val="18"/>
              </w:rPr>
              <w:t>和</w:t>
            </w:r>
            <w:r>
              <w:rPr>
                <w:rFonts w:ascii="宋体" w:hAnsi="宋体"/>
                <w:sz w:val="18"/>
                <w:szCs w:val="18"/>
              </w:rPr>
              <w:t>其他应感谢的组织或个人</w:t>
            </w:r>
            <w:r>
              <w:rPr>
                <w:rFonts w:hint="eastAsia" w:ascii="宋体" w:hAnsi="宋体"/>
                <w:sz w:val="18"/>
                <w:szCs w:val="18"/>
              </w:rPr>
              <w:t>致谢，应实事求是，切忌浮夸庸俗，一般不超过300字。</w:t>
            </w:r>
          </w:p>
        </w:tc>
        <w:tc>
          <w:tcPr>
            <w:tcW w:w="1620" w:type="dxa"/>
            <w:noWrap w:val="0"/>
            <w:tcMar>
              <w:top w:w="28" w:type="dxa"/>
              <w:bottom w:w="28" w:type="dxa"/>
            </w:tcMar>
            <w:vAlign w:val="center"/>
          </w:tcPr>
          <w:p>
            <w:pPr>
              <w:rPr>
                <w:rFonts w:hint="eastAsia" w:ascii="宋体" w:hAnsi="宋体"/>
                <w:sz w:val="18"/>
                <w:szCs w:val="18"/>
              </w:rPr>
            </w:pPr>
            <w:r>
              <w:rPr>
                <w:rFonts w:hint="eastAsia" w:ascii="宋体" w:hAnsi="宋体"/>
                <w:sz w:val="18"/>
                <w:szCs w:val="18"/>
              </w:rPr>
              <w:t>另起页</w:t>
            </w:r>
          </w:p>
        </w:tc>
      </w:tr>
    </w:tbl>
    <w:p>
      <w:pPr>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本科毕业设计（论文）格式要求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（一）页面设置：页边距上下为2.54cm，左右为3.18cm。</w:t>
      </w:r>
      <w:r>
        <w:rPr>
          <w:rFonts w:hint="eastAsia" w:ascii="Times New Roman" w:hAnsi="Times New Roman" w:eastAsia="宋体" w:cs="Times New Roman"/>
          <w:spacing w:val="0"/>
          <w:position w:val="0"/>
          <w:sz w:val="24"/>
          <w:szCs w:val="24"/>
        </w:rPr>
        <w:t>除封面外，每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上部加页眉，</w:t>
      </w:r>
      <w:r>
        <w:rPr>
          <w:rFonts w:hint="eastAsia" w:ascii="Times New Roman" w:hAnsi="Times New Roman" w:eastAsia="宋体" w:cs="Times New Roman"/>
          <w:spacing w:val="0"/>
          <w:position w:val="0"/>
          <w:sz w:val="24"/>
          <w:szCs w:val="24"/>
          <w:lang w:val="en-US" w:eastAsia="zh-CN"/>
        </w:rPr>
        <w:t>页眉上边距1.5cm，</w:t>
      </w:r>
      <w:r>
        <w:rPr>
          <w:rFonts w:hint="eastAsia" w:ascii="Times New Roman" w:hAnsi="Times New Roman" w:eastAsia="宋体" w:cs="Times New Roman"/>
          <w:spacing w:val="0"/>
          <w:position w:val="0"/>
          <w:sz w:val="24"/>
          <w:szCs w:val="24"/>
        </w:rPr>
        <w:t>用小五号宋体标注“</w:t>
      </w:r>
      <w:r>
        <w:rPr>
          <w:rFonts w:hint="eastAsia" w:ascii="Times New Roman" w:hAnsi="Times New Roman" w:eastAsia="宋体" w:cs="Times New Roman"/>
          <w:spacing w:val="0"/>
          <w:position w:val="0"/>
          <w:sz w:val="24"/>
          <w:szCs w:val="24"/>
          <w:lang w:val="en-US" w:eastAsia="zh-CN"/>
        </w:rPr>
        <w:t>合肥</w:t>
      </w:r>
      <w:r>
        <w:rPr>
          <w:rFonts w:hint="eastAsia" w:ascii="Times New Roman" w:hAnsi="Times New Roman" w:eastAsia="宋体" w:cs="Times New Roman"/>
          <w:spacing w:val="0"/>
          <w:position w:val="0"/>
          <w:sz w:val="24"/>
          <w:szCs w:val="24"/>
        </w:rPr>
        <w:t>大学</w:t>
      </w:r>
      <w:r>
        <w:rPr>
          <w:rFonts w:hint="eastAsia" w:ascii="Times New Roman" w:hAnsi="Times New Roman" w:eastAsia="宋体" w:cs="Times New Roman"/>
          <w:spacing w:val="0"/>
          <w:position w:val="0"/>
          <w:sz w:val="24"/>
          <w:szCs w:val="24"/>
          <w:lang w:eastAsia="zh-CN"/>
        </w:rPr>
        <w:t>毕业设计（论文）</w:t>
      </w:r>
      <w:r>
        <w:rPr>
          <w:rFonts w:hint="eastAsia" w:ascii="Times New Roman" w:hAnsi="Times New Roman" w:eastAsia="宋体" w:cs="Times New Roman"/>
          <w:spacing w:val="0"/>
          <w:position w:val="0"/>
          <w:sz w:val="24"/>
          <w:szCs w:val="24"/>
        </w:rPr>
        <w:t>”，居中。每</w:t>
      </w:r>
      <w:r>
        <w:rPr>
          <w:rFonts w:hint="eastAsia" w:ascii="Times New Roman" w:hAnsi="Times New Roman" w:eastAsia="宋体" w:cs="Times New Roman"/>
          <w:spacing w:val="0"/>
          <w:position w:val="0"/>
          <w:sz w:val="24"/>
          <w:szCs w:val="24"/>
          <w:lang w:val="en-US" w:eastAsia="zh-CN"/>
        </w:rPr>
        <w:t>页下</w:t>
      </w:r>
      <w:r>
        <w:rPr>
          <w:rFonts w:hint="eastAsia" w:ascii="Times New Roman" w:hAnsi="Times New Roman" w:eastAsia="宋体" w:cs="Times New Roman"/>
          <w:spacing w:val="0"/>
          <w:position w:val="0"/>
          <w:sz w:val="24"/>
          <w:szCs w:val="24"/>
        </w:rPr>
        <w:t>部加</w:t>
      </w:r>
      <w:r>
        <w:rPr>
          <w:rFonts w:hint="eastAsia" w:ascii="Times New Roman" w:hAnsi="Times New Roman" w:eastAsia="宋体" w:cs="Times New Roman"/>
          <w:spacing w:val="0"/>
          <w:position w:val="0"/>
          <w:sz w:val="24"/>
          <w:szCs w:val="24"/>
          <w:lang w:val="en-US" w:eastAsia="zh-CN"/>
        </w:rPr>
        <w:t>页脚</w:t>
      </w:r>
      <w:r>
        <w:rPr>
          <w:rFonts w:hint="eastAsia" w:ascii="Times New Roman" w:hAnsi="Times New Roman" w:eastAsia="宋体" w:cs="Times New Roman"/>
          <w:spacing w:val="0"/>
          <w:position w:val="0"/>
          <w:sz w:val="24"/>
          <w:szCs w:val="24"/>
        </w:rPr>
        <w:t>，</w:t>
      </w:r>
      <w:r>
        <w:rPr>
          <w:rFonts w:hint="eastAsia" w:ascii="Times New Roman" w:hAnsi="Times New Roman" w:eastAsia="宋体" w:cs="Times New Roman"/>
          <w:spacing w:val="0"/>
          <w:position w:val="0"/>
          <w:sz w:val="24"/>
          <w:szCs w:val="24"/>
          <w:lang w:val="en-US" w:eastAsia="zh-CN"/>
        </w:rPr>
        <w:t>页脚下边距1.75cm。</w:t>
      </w:r>
      <w:r>
        <w:rPr>
          <w:rFonts w:hint="eastAsia" w:ascii="Times New Roman" w:hAnsi="Times New Roman" w:eastAsia="宋体" w:cs="Times New Roman"/>
          <w:spacing w:val="0"/>
          <w:position w:val="0"/>
          <w:sz w:val="24"/>
          <w:szCs w:val="24"/>
        </w:rPr>
        <w:t>从目录页开始</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在每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底部连续编页码</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格式为“第 页 共 页”，</w:t>
      </w:r>
      <w:r>
        <w:rPr>
          <w:rFonts w:hint="eastAsia" w:ascii="Times New Roman" w:hAnsi="Times New Roman" w:eastAsia="宋体" w:cs="Times New Roman"/>
          <w:spacing w:val="0"/>
          <w:position w:val="0"/>
          <w:sz w:val="24"/>
          <w:szCs w:val="24"/>
        </w:rPr>
        <w:t>用小五宋体居中</w:t>
      </w:r>
      <w:r>
        <w:rPr>
          <w:rFonts w:hint="eastAsia" w:ascii="Times New Roman" w:hAnsi="Times New Roman" w:eastAsia="宋体" w:cs="Times New Roman"/>
          <w:spacing w:val="0"/>
          <w:positio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（二）通用的字体设置：</w:t>
      </w:r>
      <w:r>
        <w:rPr>
          <w:rFonts w:hint="eastAsia" w:cs="Times New Roman"/>
          <w:spacing w:val="0"/>
          <w:position w:val="0"/>
          <w:sz w:val="24"/>
          <w:szCs w:val="24"/>
          <w:lang w:val="en-US" w:eastAsia="zh-CN"/>
        </w:rPr>
        <w:t>题目和一级标题使用黑体，二级标题以下及</w:t>
      </w:r>
      <w:r>
        <w:rPr>
          <w:rFonts w:hint="eastAsia" w:ascii="Times New Roman" w:hAnsi="Times New Roman" w:eastAsia="宋体" w:cs="Times New Roman"/>
          <w:spacing w:val="0"/>
          <w:position w:val="0"/>
          <w:sz w:val="24"/>
          <w:szCs w:val="24"/>
          <w:lang w:val="en-US" w:eastAsia="zh-CN"/>
        </w:rPr>
        <w:t>正文内容使用宋体，外文使用Times New Roman，字符间距100%，间距标准，位置标准。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（三）通用的段落设置：正文两端对齐，文本之前</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0字符，文本之后</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0字符，首行缩进2字符。段前</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0行，段后</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0行，行间距1.5倍。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lang w:eastAsia="zh-CN"/>
        </w:rPr>
        <w:t>中文题目</w:t>
      </w:r>
      <w:r>
        <w:rPr>
          <w:rFonts w:hint="eastAsia" w:ascii="Times New Roman" w:hAnsi="Times New Roman" w:eastAsia="宋体" w:cs="Times New Roman"/>
          <w:spacing w:val="0"/>
          <w:position w:val="0"/>
          <w:sz w:val="24"/>
          <w:szCs w:val="24"/>
          <w:lang w:val="en-US" w:eastAsia="zh-CN"/>
        </w:rPr>
        <w:t>设置黑体三号加粗居中；“</w:t>
      </w:r>
      <w:r>
        <w:rPr>
          <w:rFonts w:hint="eastAsia" w:ascii="Times New Roman" w:hAnsi="Times New Roman" w:eastAsia="宋体" w:cs="Times New Roman"/>
          <w:spacing w:val="0"/>
          <w:position w:val="0"/>
          <w:sz w:val="24"/>
          <w:szCs w:val="24"/>
        </w:rPr>
        <w:t>摘要</w:t>
      </w:r>
      <w:r>
        <w:rPr>
          <w:rFonts w:hint="eastAsia" w:ascii="Times New Roman" w:hAnsi="Times New Roman" w:eastAsia="宋体" w:cs="Times New Roman"/>
          <w:spacing w:val="0"/>
          <w:position w:val="0"/>
          <w:sz w:val="24"/>
          <w:szCs w:val="24"/>
          <w:lang w:val="en-US" w:eastAsia="zh-CN"/>
        </w:rPr>
        <w:t>”</w:t>
      </w:r>
      <w:r>
        <w:rPr>
          <w:rFonts w:hint="eastAsia" w:ascii="Times New Roman" w:hAnsi="Times New Roman" w:eastAsia="宋体" w:cs="Times New Roman"/>
          <w:spacing w:val="0"/>
          <w:position w:val="0"/>
          <w:sz w:val="24"/>
          <w:szCs w:val="24"/>
        </w:rPr>
        <w:t>黑体字</w:t>
      </w: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rPr>
        <w:t>号</w:t>
      </w:r>
      <w:r>
        <w:rPr>
          <w:rFonts w:hint="eastAsia" w:ascii="Times New Roman" w:hAnsi="Times New Roman" w:eastAsia="宋体" w:cs="Times New Roman"/>
          <w:spacing w:val="0"/>
          <w:position w:val="0"/>
          <w:sz w:val="24"/>
          <w:szCs w:val="24"/>
          <w:lang w:val="en-US" w:eastAsia="zh-CN"/>
        </w:rPr>
        <w:t>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val="en-US" w:eastAsia="zh-CN"/>
        </w:rPr>
        <w:t>；摘要正文小四；关键词小四加粗，分号间隔，首行缩进2字符。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（五）</w:t>
      </w:r>
      <w:r>
        <w:rPr>
          <w:rFonts w:hint="eastAsia" w:cs="Times New Roman"/>
          <w:snapToGrid w:val="0"/>
          <w:spacing w:val="0"/>
          <w:position w:val="0"/>
          <w:sz w:val="24"/>
          <w:szCs w:val="24"/>
          <w:lang w:val="en-US" w:eastAsia="zh-CN" w:bidi="ar-SA"/>
        </w:rPr>
        <w:t>T</w:t>
      </w:r>
      <w:r>
        <w:rPr>
          <w:rFonts w:hint="eastAsia" w:cs="Times New Roman"/>
          <w:spacing w:val="0"/>
          <w:position w:val="0"/>
          <w:sz w:val="24"/>
          <w:szCs w:val="24"/>
          <w:lang w:val="en-US" w:eastAsia="zh-CN"/>
        </w:rPr>
        <w:t>itle</w:t>
      </w:r>
      <w:r>
        <w:rPr>
          <w:rFonts w:hint="eastAsia" w:ascii="Times New Roman" w:hAnsi="Times New Roman" w:eastAsia="宋体" w:cs="Times New Roman"/>
          <w:spacing w:val="0"/>
          <w:position w:val="0"/>
          <w:sz w:val="24"/>
          <w:szCs w:val="24"/>
          <w:lang w:val="en-US" w:eastAsia="zh-CN"/>
        </w:rPr>
        <w:t>设置Times New Roman三号加粗居中；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四号加粗居中；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正文小四；</w:t>
      </w:r>
      <w:r>
        <w:rPr>
          <w:rFonts w:hint="eastAsia" w:ascii="Times New Roman" w:hAnsi="Times New Roman" w:eastAsia="宋体" w:cs="Times New Roman"/>
          <w:spacing w:val="0"/>
          <w:position w:val="0"/>
          <w:sz w:val="24"/>
          <w:szCs w:val="24"/>
          <w:lang w:eastAsia="zh-CN"/>
        </w:rPr>
        <w:t>Key</w:t>
      </w:r>
      <w:r>
        <w:rPr>
          <w:rFonts w:hint="eastAsia" w:ascii="Times New Roman" w:hAnsi="Times New Roman" w:eastAsia="宋体" w:cs="Times New Roman"/>
          <w:spacing w:val="0"/>
          <w:position w:val="0"/>
          <w:sz w:val="24"/>
          <w:szCs w:val="24"/>
          <w:lang w:val="en-US" w:eastAsia="zh-CN"/>
        </w:rPr>
        <w:t xml:space="preserve"> </w:t>
      </w:r>
      <w:r>
        <w:rPr>
          <w:rFonts w:hint="eastAsia" w:ascii="Times New Roman" w:hAnsi="Times New Roman" w:eastAsia="宋体" w:cs="Times New Roman"/>
          <w:spacing w:val="0"/>
          <w:position w:val="0"/>
          <w:sz w:val="24"/>
          <w:szCs w:val="24"/>
          <w:lang w:eastAsia="zh-CN"/>
        </w:rPr>
        <w:t>words</w:t>
      </w:r>
      <w:r>
        <w:rPr>
          <w:rFonts w:hint="eastAsia" w:ascii="Times New Roman" w:hAnsi="Times New Roman" w:eastAsia="宋体" w:cs="Times New Roman"/>
          <w:spacing w:val="0"/>
          <w:position w:val="0"/>
          <w:sz w:val="24"/>
          <w:szCs w:val="24"/>
          <w:lang w:val="en-US" w:eastAsia="zh-CN"/>
        </w:rPr>
        <w:t>小四加粗，分号间隔，首行缩进2字符。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（六）</w:t>
      </w:r>
      <w:r>
        <w:rPr>
          <w:rFonts w:hint="eastAsia" w:ascii="Times New Roman" w:hAnsi="Times New Roman" w:eastAsia="宋体" w:cs="Times New Roman"/>
          <w:spacing w:val="0"/>
          <w:position w:val="0"/>
          <w:sz w:val="24"/>
          <w:szCs w:val="24"/>
          <w:lang w:val="en-US" w:eastAsia="zh-CN"/>
        </w:rPr>
        <w:t>目录</w:t>
      </w:r>
      <w:r>
        <w:rPr>
          <w:rFonts w:hint="eastAsia" w:ascii="Times New Roman" w:hAnsi="Times New Roman" w:eastAsia="宋体" w:cs="Times New Roman"/>
          <w:spacing w:val="0"/>
          <w:position w:val="0"/>
          <w:sz w:val="24"/>
          <w:szCs w:val="24"/>
        </w:rPr>
        <w:t>使用索引和目录功能自动生成目录</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目录一般列三级，后附规范的页号。</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目录</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设置黑体四号加粗居中，目录本文设置宋体五号字体，单倍行距。</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（七）</w:t>
      </w:r>
      <w:r>
        <w:rPr>
          <w:rFonts w:hint="eastAsia" w:ascii="Times New Roman" w:hAnsi="Times New Roman" w:eastAsia="宋体" w:cs="Times New Roman"/>
          <w:spacing w:val="0"/>
          <w:position w:val="0"/>
          <w:sz w:val="24"/>
          <w:szCs w:val="24"/>
        </w:rPr>
        <w:t>正文中的每章标题黑体</w:t>
      </w:r>
      <w:r>
        <w:rPr>
          <w:rFonts w:hint="eastAsia" w:ascii="Times New Roman" w:hAnsi="Times New Roman" w:eastAsia="宋体" w:cs="Times New Roman"/>
          <w:spacing w:val="0"/>
          <w:position w:val="0"/>
          <w:sz w:val="24"/>
          <w:szCs w:val="24"/>
          <w:lang w:val="en-US" w:eastAsia="zh-CN"/>
        </w:rPr>
        <w:t>小三加粗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章”下为“节”，“节”下为“小节”，均以</w:t>
      </w:r>
      <w:r>
        <w:rPr>
          <w:rFonts w:hint="eastAsia" w:ascii="Times New Roman" w:hAnsi="Times New Roman" w:eastAsia="宋体" w:cs="Times New Roman"/>
          <w:spacing w:val="0"/>
          <w:position w:val="0"/>
          <w:sz w:val="24"/>
          <w:szCs w:val="24"/>
          <w:lang w:val="en-US" w:eastAsia="zh-CN"/>
        </w:rPr>
        <w:t>宋体</w:t>
      </w:r>
      <w:r>
        <w:rPr>
          <w:rFonts w:hint="eastAsia" w:ascii="Times New Roman" w:hAnsi="Times New Roman" w:eastAsia="宋体" w:cs="Times New Roman"/>
          <w:spacing w:val="0"/>
          <w:position w:val="0"/>
          <w:sz w:val="24"/>
          <w:szCs w:val="24"/>
        </w:rPr>
        <w:t>四号居左。各章节序号编制可采取以下格式：</w:t>
      </w:r>
    </w:p>
    <w:tbl>
      <w:tblPr>
        <w:tblStyle w:val="1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097"/>
        <w:gridCol w:w="239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第一种</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第二种</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第三种</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lang w:val="en-US" w:eastAsia="zh-CN"/>
              </w:rPr>
              <w:t>第四种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hint="eastAsia" w:ascii="仿宋" w:hAnsi="仿宋" w:eastAsia="仿宋"/>
                <w:snapToGrid w:val="0"/>
                <w:spacing w:val="10"/>
                <w:sz w:val="24"/>
                <w:szCs w:val="24"/>
                <w:lang w:val="en-US" w:eastAsia="zh-CN" w:bidi="ar-SA"/>
              </w:rPr>
            </w:pPr>
            <w:r>
              <w:rPr>
                <w:rFonts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60" w:firstLineChars="100"/>
              <w:jc w:val="both"/>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ascii="仿宋" w:hAnsi="仿宋" w:eastAsia="仿宋"/>
                <w:sz w:val="24"/>
                <w:szCs w:val="24"/>
              </w:rPr>
              <w:t>1</w:t>
            </w:r>
            <w:r>
              <w:rPr>
                <w:rFonts w:hint="eastAsia" w:ascii="仿宋" w:hAnsi="仿宋" w:eastAsia="仿宋"/>
                <w:sz w:val="24"/>
                <w:szCs w:val="24"/>
                <w:lang w:eastAsia="zh-CN"/>
              </w:rPr>
              <w:t>、</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snapToGrid w:val="0"/>
                <w:spacing w:val="10"/>
                <w:sz w:val="24"/>
                <w:szCs w:val="24"/>
                <w:lang w:val="en-US" w:eastAsia="zh-CN" w:bidi="ar-SA"/>
              </w:rPr>
            </w:pPr>
            <w:r>
              <w:rPr>
                <w:rFonts w:hint="eastAsia" w:ascii="仿宋" w:hAnsi="仿宋" w:eastAsia="仿宋"/>
                <w:sz w:val="24"/>
                <w:szCs w:val="24"/>
              </w:rPr>
              <w:t>（</w:t>
            </w:r>
            <w:r>
              <w:rPr>
                <w:rFonts w:ascii="仿宋" w:hAnsi="仿宋" w:eastAsia="仿宋"/>
                <w:sz w:val="24"/>
                <w:szCs w:val="24"/>
              </w:rPr>
              <w:t>1）</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hint="default" w:ascii="仿宋" w:hAnsi="仿宋" w:eastAsia="仿宋"/>
                <w:snapToGrid w:val="0"/>
                <w:spacing w:val="10"/>
                <w:sz w:val="24"/>
                <w:szCs w:val="24"/>
                <w:lang w:val="en-US" w:eastAsia="zh-CN" w:bidi="ar-SA"/>
              </w:rPr>
            </w:pPr>
            <w:r>
              <w:rPr>
                <w:rFonts w:ascii="仿宋" w:hAnsi="仿宋" w:eastAsia="仿宋"/>
                <w:sz w:val="24"/>
                <w:szCs w:val="24"/>
              </w:rPr>
              <w:t>1.1.1</w:t>
            </w:r>
            <w:r>
              <w:rPr>
                <w:rFonts w:hint="eastAsia" w:ascii="仿宋" w:hAnsi="仿宋" w:eastAsia="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sz w:val="24"/>
                <w:szCs w:val="24"/>
              </w:rPr>
            </w:pPr>
            <w:r>
              <w:rPr>
                <w:rFonts w:hint="eastAsia" w:ascii="宋体" w:hAnsi="宋体"/>
                <w:sz w:val="24"/>
              </w:rPr>
              <w:t>①</w:t>
            </w:r>
          </w:p>
        </w:tc>
        <w:tc>
          <w:tcPr>
            <w:tcW w:w="239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520" w:firstLineChars="200"/>
              <w:rPr>
                <w:rFonts w:ascii="仿宋" w:hAnsi="仿宋" w:eastAsia="仿宋"/>
                <w:snapToGrid w:val="0"/>
                <w:spacing w:val="10"/>
                <w:sz w:val="24"/>
                <w:szCs w:val="24"/>
                <w:lang w:val="en-US" w:eastAsia="zh-CN" w:bidi="ar-SA"/>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8"/>
          <w:szCs w:val="28"/>
        </w:rPr>
      </w:pPr>
      <w:r>
        <w:rPr>
          <w:rFonts w:hint="eastAsia" w:ascii="Times New Roman" w:hAnsi="Times New Roman" w:eastAsia="宋体" w:cs="Times New Roman"/>
          <w:spacing w:val="0"/>
          <w:position w:val="0"/>
          <w:sz w:val="24"/>
          <w:szCs w:val="24"/>
        </w:rPr>
        <w:t>科学公式和符号要符合国标</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所有公式不得手写，利用Microsoft（WPS）公式编辑器或Math Type编辑。</w:t>
      </w:r>
      <w:r>
        <w:rPr>
          <w:rFonts w:hint="eastAsia" w:ascii="Times New Roman" w:hAnsi="Times New Roman" w:eastAsia="宋体" w:cs="Times New Roman"/>
          <w:spacing w:val="0"/>
          <w:position w:val="0"/>
          <w:sz w:val="24"/>
          <w:szCs w:val="24"/>
        </w:rPr>
        <w:t>公式要单独占行居中。一般</w:t>
      </w:r>
      <w:r>
        <w:rPr>
          <w:rFonts w:hint="eastAsia" w:ascii="Times New Roman" w:hAnsi="Times New Roman" w:eastAsia="宋体" w:cs="Times New Roman"/>
          <w:spacing w:val="0"/>
          <w:position w:val="0"/>
          <w:sz w:val="24"/>
          <w:szCs w:val="24"/>
          <w:lang w:val="en-US" w:eastAsia="zh-CN"/>
        </w:rPr>
        <w:t>建议</w:t>
      </w:r>
      <w:r>
        <w:rPr>
          <w:rFonts w:hint="eastAsia" w:ascii="Times New Roman" w:hAnsi="Times New Roman" w:eastAsia="宋体" w:cs="Times New Roman"/>
          <w:spacing w:val="0"/>
          <w:position w:val="0"/>
          <w:sz w:val="24"/>
          <w:szCs w:val="24"/>
        </w:rPr>
        <w:t>变量用斜体，常量和特殊函数等用正体，矢量用黑斜体，张量用黑正体。表格、插图全</w:t>
      </w:r>
      <w:bookmarkStart w:id="1" w:name="_GoBack"/>
      <w:bookmarkEnd w:id="1"/>
      <w:r>
        <w:rPr>
          <w:rFonts w:hint="eastAsia" w:ascii="Times New Roman" w:hAnsi="Times New Roman" w:eastAsia="宋体" w:cs="Times New Roman"/>
          <w:spacing w:val="0"/>
          <w:position w:val="0"/>
          <w:sz w:val="24"/>
          <w:szCs w:val="24"/>
        </w:rPr>
        <w:t>文要分别统一编号或按章编号</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表格标题</w:t>
      </w:r>
      <w:r>
        <w:rPr>
          <w:rFonts w:hint="eastAsia" w:ascii="Times New Roman" w:hAnsi="Times New Roman" w:eastAsia="宋体" w:cs="Times New Roman"/>
          <w:spacing w:val="0"/>
          <w:position w:val="0"/>
          <w:sz w:val="24"/>
          <w:szCs w:val="24"/>
          <w:lang w:val="en-US" w:eastAsia="zh-CN"/>
        </w:rPr>
        <w:t>位于表格</w:t>
      </w:r>
      <w:r>
        <w:rPr>
          <w:rFonts w:hint="eastAsia" w:ascii="Times New Roman" w:hAnsi="Times New Roman" w:eastAsia="宋体" w:cs="Times New Roman"/>
          <w:spacing w:val="0"/>
          <w:position w:val="0"/>
          <w:sz w:val="24"/>
          <w:szCs w:val="24"/>
        </w:rPr>
        <w:t>上方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插图标题居图下方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。引用别人的图或表应标出文献来源。</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Times New Roman" w:hAnsi="Times New Roman" w:eastAsia="宋体" w:cs="Times New Roman"/>
          <w:b w:val="0"/>
          <w:bCs w:val="0"/>
          <w:spacing w:val="0"/>
          <w:position w:val="0"/>
          <w:sz w:val="24"/>
          <w:szCs w:val="24"/>
        </w:rPr>
      </w:pPr>
      <w:r>
        <w:rPr>
          <w:rFonts w:hint="eastAsia" w:ascii="Times New Roman" w:hAnsi="Times New Roman" w:eastAsia="宋体" w:cs="Times New Roman"/>
          <w:b w:val="0"/>
          <w:bCs w:val="0"/>
          <w:spacing w:val="0"/>
          <w:position w:val="0"/>
          <w:sz w:val="24"/>
          <w:szCs w:val="24"/>
        </w:rPr>
        <w:t>公式</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b w:val="0"/>
          <w:bCs w:val="0"/>
          <w:spacing w:val="0"/>
          <w:position w:val="0"/>
          <w:sz w:val="24"/>
          <w:szCs w:val="24"/>
        </w:rPr>
        <w:t>：</w:t>
      </w:r>
    </w:p>
    <w:p>
      <w:pPr>
        <w:pStyle w:val="5"/>
        <w:tabs>
          <w:tab w:val="center" w:pos="4535"/>
          <w:tab w:val="right" w:pos="9071"/>
        </w:tabs>
        <w:spacing w:line="400" w:lineRule="exact"/>
        <w:jc w:val="center"/>
        <w:rPr>
          <w:rFonts w:hint="eastAsia" w:hAnsi="Cambria Math" w:eastAsia="黑体" w:cs="Times New Roman"/>
          <w:i w:val="0"/>
          <w:spacing w:val="0"/>
          <w:position w:val="0"/>
          <w:sz w:val="28"/>
          <w:szCs w:val="28"/>
          <w:lang w:val="en-US" w:eastAsia="zh-CN"/>
        </w:rPr>
      </w:pPr>
      <m:oMathPara>
        <m:oMath>
          <m:r>
            <m:rPr/>
            <w:rPr>
              <w:rFonts w:ascii="Cambria Math" w:hAnsi="Cambria Math" w:cs="Times New Roman"/>
              <w:spacing w:val="0"/>
              <w:position w:val="0"/>
              <w:sz w:val="28"/>
              <w:szCs w:val="28"/>
            </w:rPr>
            <m:t>f</m:t>
          </m:r>
          <m:d>
            <m:dPr>
              <m:ctrlPr>
                <w:rPr>
                  <w:rFonts w:ascii="Cambria Math" w:hAnsi="Cambria Math" w:cs="Times New Roman"/>
                  <w:i/>
                  <w:spacing w:val="0"/>
                  <w:position w:val="0"/>
                  <w:sz w:val="28"/>
                  <w:szCs w:val="28"/>
                </w:rPr>
              </m:ctrlPr>
            </m:dPr>
            <m:e>
              <m:r>
                <m:rPr/>
                <w:rPr>
                  <w:rFonts w:ascii="Cambria Math" w:hAnsi="Cambria Math" w:cs="Times New Roman"/>
                  <w:spacing w:val="0"/>
                  <w:position w:val="0"/>
                  <w:sz w:val="28"/>
                  <w:szCs w:val="28"/>
                </w:rPr>
                <m:t>x</m:t>
              </m:r>
              <m:ctrlPr>
                <w:rPr>
                  <w:rFonts w:ascii="Cambria Math" w:hAnsi="Cambria Math" w:cs="Times New Roman"/>
                  <w:i/>
                  <w:spacing w:val="0"/>
                  <w:position w:val="0"/>
                  <w:sz w:val="28"/>
                  <w:szCs w:val="28"/>
                </w:rPr>
              </m:ctrlPr>
            </m:e>
          </m:d>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0</m:t>
              </m:r>
              <m:ctrlPr>
                <w:rPr>
                  <w:rFonts w:ascii="Cambria Math" w:hAnsi="Cambria Math" w:cs="Times New Roman"/>
                  <w:i/>
                  <w:spacing w:val="0"/>
                  <w:position w:val="0"/>
                  <w:sz w:val="28"/>
                  <w:szCs w:val="28"/>
                </w:rPr>
              </m:ctrlPr>
            </m:sub>
          </m:sSub>
          <m:r>
            <m:rPr/>
            <w:rPr>
              <w:rFonts w:ascii="Cambria Math" w:hAnsi="Cambria Math" w:cs="Times New Roman"/>
              <w:spacing w:val="0"/>
              <w:position w:val="0"/>
              <w:sz w:val="28"/>
              <w:szCs w:val="28"/>
            </w:rPr>
            <m:t>+</m:t>
          </m:r>
          <m:nary>
            <m:naryPr>
              <m:chr m:val="∑"/>
              <m:grow m:val="1"/>
              <m:limLoc m:val="undOvr"/>
              <m:ctrlPr>
                <w:rPr>
                  <w:rFonts w:ascii="Cambria Math" w:hAnsi="Cambria Math" w:cs="Times New Roman"/>
                  <w:i/>
                  <w:spacing w:val="0"/>
                  <w:position w:val="0"/>
                  <w:sz w:val="28"/>
                  <w:szCs w:val="28"/>
                </w:rPr>
              </m:ctrlPr>
            </m:naryPr>
            <m:sub>
              <m:r>
                <m:rPr/>
                <w:rPr>
                  <w:rFonts w:ascii="Cambria Math" w:hAnsi="Cambria Math" w:cs="Times New Roman"/>
                  <w:spacing w:val="0"/>
                  <w:position w:val="0"/>
                  <w:sz w:val="28"/>
                  <w:szCs w:val="28"/>
                </w:rPr>
                <m:t>n=1</m:t>
              </m:r>
              <m:ctrlPr>
                <w:rPr>
                  <w:rFonts w:ascii="Cambria Math" w:hAnsi="Cambria Math" w:cs="Times New Roman"/>
                  <w:i/>
                  <w:spacing w:val="0"/>
                  <w:position w:val="0"/>
                  <w:sz w:val="28"/>
                  <w:szCs w:val="28"/>
                </w:rPr>
              </m:ctrlPr>
            </m:sub>
            <m:sup>
              <m:r>
                <m:rPr/>
                <w:rPr>
                  <w:rFonts w:ascii="Cambria Math" w:hAnsi="Cambria Math" w:cs="Times New Roman"/>
                  <w:spacing w:val="0"/>
                  <w:position w:val="0"/>
                  <w:sz w:val="28"/>
                  <w:szCs w:val="28"/>
                </w:rPr>
                <m:t>∞</m:t>
              </m:r>
              <m:ctrlPr>
                <w:rPr>
                  <w:rFonts w:ascii="Cambria Math" w:hAnsi="Cambria Math" w:cs="Times New Roman"/>
                  <w:i/>
                  <w:spacing w:val="0"/>
                  <w:position w:val="0"/>
                  <w:sz w:val="28"/>
                  <w:szCs w:val="28"/>
                </w:rPr>
              </m:ctrlPr>
            </m:sup>
            <m:e>
              <m:d>
                <m:dPr>
                  <m:ctrlPr>
                    <w:rPr>
                      <w:rFonts w:ascii="Cambria Math" w:hAnsi="Cambria Math" w:cs="Times New Roman"/>
                      <w:i/>
                      <w:spacing w:val="0"/>
                      <w:position w:val="0"/>
                      <w:sz w:val="28"/>
                      <w:szCs w:val="28"/>
                    </w:rPr>
                  </m:ctrlPr>
                </m:dPr>
                <m:e>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cos</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b</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sin</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ctrlPr>
                    <w:rPr>
                      <w:rFonts w:ascii="Cambria Math" w:hAnsi="Cambria Math" w:cs="Times New Roman"/>
                      <w:i/>
                      <w:spacing w:val="0"/>
                      <w:position w:val="0"/>
                      <w:sz w:val="28"/>
                      <w:szCs w:val="28"/>
                    </w:rPr>
                  </m:ctrlPr>
                </m:e>
              </m:d>
              <m:ctrlPr>
                <w:rPr>
                  <w:rFonts w:ascii="Cambria Math" w:hAnsi="Cambria Math" w:cs="Times New Roman"/>
                  <w:i/>
                  <w:spacing w:val="0"/>
                  <w:position w:val="0"/>
                  <w:sz w:val="28"/>
                  <w:szCs w:val="28"/>
                </w:rPr>
              </m:ctrlPr>
            </m:e>
          </m:nary>
        </m:oMath>
      </m:oMathPara>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表格</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pPr>
        <w:spacing w:before="156" w:beforeLines="50" w:line="300" w:lineRule="auto"/>
        <w:jc w:val="center"/>
        <w:rPr>
          <w:rFonts w:hint="eastAsia" w:ascii="宋体" w:hAnsi="宋体" w:eastAsia="宋体" w:cs="宋体"/>
          <w:sz w:val="21"/>
          <w:szCs w:val="21"/>
          <w:vertAlign w:val="superscript"/>
          <w:lang w:eastAsia="zh-CN"/>
        </w:rPr>
      </w:pPr>
      <w:r>
        <w:rPr>
          <w:rFonts w:hint="eastAsia" w:ascii="宋体" w:hAnsi="宋体" w:cs="宋体"/>
          <w:sz w:val="21"/>
          <w:szCs w:val="21"/>
          <w:lang w:eastAsia="zh-Hans"/>
        </w:rPr>
        <w:t>表4 2017—2021年长三角自贸区数字产业化发展情况 单位：亿元</w:t>
      </w:r>
      <w:r>
        <w:rPr>
          <w:rFonts w:hint="eastAsia" w:ascii="宋体" w:hAnsi="宋体" w:cs="宋体"/>
          <w:sz w:val="21"/>
          <w:szCs w:val="21"/>
          <w:vertAlign w:val="superscript"/>
          <w:lang w:eastAsia="zh-CN"/>
        </w:rPr>
        <w:t>【</w:t>
      </w:r>
      <w:r>
        <w:rPr>
          <w:rFonts w:hint="eastAsia" w:ascii="宋体" w:hAnsi="宋体" w:cs="宋体"/>
          <w:sz w:val="21"/>
          <w:szCs w:val="21"/>
          <w:vertAlign w:val="superscript"/>
          <w:lang w:val="en-US" w:eastAsia="zh-CN"/>
        </w:rPr>
        <w:t>1</w:t>
      </w:r>
      <w:r>
        <w:rPr>
          <w:rFonts w:hint="eastAsia" w:ascii="宋体" w:hAnsi="宋体" w:cs="宋体"/>
          <w:sz w:val="21"/>
          <w:szCs w:val="21"/>
          <w:vertAlign w:val="superscript"/>
          <w:lang w:eastAsia="zh-CN"/>
        </w:rPr>
        <w:t>】</w:t>
      </w:r>
    </w:p>
    <w:tbl>
      <w:tblPr>
        <w:tblStyle w:val="17"/>
        <w:tblW w:w="9630" w:type="dxa"/>
        <w:jc w:val="center"/>
        <w:tblLayout w:type="autofit"/>
        <w:tblCellMar>
          <w:top w:w="15" w:type="dxa"/>
          <w:left w:w="15" w:type="dxa"/>
          <w:bottom w:w="15" w:type="dxa"/>
          <w:right w:w="15" w:type="dxa"/>
        </w:tblCellMar>
      </w:tblPr>
      <w:tblGrid>
        <w:gridCol w:w="475"/>
        <w:gridCol w:w="730"/>
        <w:gridCol w:w="853"/>
        <w:gridCol w:w="711"/>
        <w:gridCol w:w="711"/>
        <w:gridCol w:w="853"/>
        <w:gridCol w:w="726"/>
        <w:gridCol w:w="711"/>
        <w:gridCol w:w="853"/>
        <w:gridCol w:w="711"/>
        <w:gridCol w:w="711"/>
        <w:gridCol w:w="853"/>
        <w:gridCol w:w="732"/>
      </w:tblGrid>
      <w:tr>
        <w:tblPrEx>
          <w:tblCellMar>
            <w:top w:w="15" w:type="dxa"/>
            <w:left w:w="15" w:type="dxa"/>
            <w:bottom w:w="15" w:type="dxa"/>
            <w:right w:w="15" w:type="dxa"/>
          </w:tblCellMar>
        </w:tblPrEx>
        <w:trPr>
          <w:trHeight w:val="285" w:hRule="atLeast"/>
          <w:jc w:val="center"/>
        </w:trPr>
        <w:tc>
          <w:tcPr>
            <w:tcW w:w="475" w:type="dxa"/>
            <w:vMerge w:val="restart"/>
            <w:tcBorders>
              <w:top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年份</w:t>
            </w:r>
          </w:p>
        </w:tc>
        <w:tc>
          <w:tcPr>
            <w:tcW w:w="2284" w:type="dxa"/>
            <w:gridSpan w:val="3"/>
            <w:tcBorders>
              <w:top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江苏</w:t>
            </w:r>
          </w:p>
        </w:tc>
        <w:tc>
          <w:tcPr>
            <w:tcW w:w="2294" w:type="dxa"/>
            <w:gridSpan w:val="3"/>
            <w:tcBorders>
              <w:top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浙江</w:t>
            </w:r>
          </w:p>
        </w:tc>
        <w:tc>
          <w:tcPr>
            <w:tcW w:w="2279" w:type="dxa"/>
            <w:gridSpan w:val="3"/>
            <w:tcBorders>
              <w:top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上海</w:t>
            </w:r>
          </w:p>
        </w:tc>
        <w:tc>
          <w:tcPr>
            <w:tcW w:w="2298" w:type="dxa"/>
            <w:gridSpan w:val="3"/>
            <w:tcBorders>
              <w:top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安徽</w:t>
            </w:r>
          </w:p>
        </w:tc>
      </w:tr>
      <w:tr>
        <w:tblPrEx>
          <w:tblCellMar>
            <w:top w:w="15" w:type="dxa"/>
            <w:left w:w="15" w:type="dxa"/>
            <w:bottom w:w="15" w:type="dxa"/>
            <w:right w:w="15" w:type="dxa"/>
          </w:tblCellMar>
        </w:tblPrEx>
        <w:trPr>
          <w:trHeight w:val="285" w:hRule="atLeast"/>
          <w:jc w:val="center"/>
        </w:trPr>
        <w:tc>
          <w:tcPr>
            <w:tcW w:w="475" w:type="dxa"/>
            <w:vMerge w:val="continue"/>
            <w:tcBorders>
              <w:bottom w:val="single" w:color="000000" w:sz="4" w:space="0"/>
            </w:tcBorders>
            <w:noWrap w:val="0"/>
            <w:vAlign w:val="center"/>
          </w:tcPr>
          <w:p>
            <w:pPr>
              <w:jc w:val="center"/>
              <w:rPr>
                <w:rFonts w:hint="eastAsia" w:ascii="宋体" w:hAnsi="宋体" w:cs="宋体"/>
                <w:sz w:val="18"/>
                <w:szCs w:val="18"/>
              </w:rPr>
            </w:pPr>
          </w:p>
        </w:tc>
        <w:tc>
          <w:tcPr>
            <w:tcW w:w="717"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27"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31"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r>
      <w:tr>
        <w:tblPrEx>
          <w:tblCellMar>
            <w:top w:w="15" w:type="dxa"/>
            <w:left w:w="15" w:type="dxa"/>
            <w:bottom w:w="15" w:type="dxa"/>
            <w:right w:w="15" w:type="dxa"/>
          </w:tblCellMar>
        </w:tblPrEx>
        <w:trPr>
          <w:trHeight w:val="285" w:hRule="atLeast"/>
          <w:jc w:val="center"/>
        </w:trPr>
        <w:tc>
          <w:tcPr>
            <w:tcW w:w="47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2017</w:t>
            </w:r>
          </w:p>
        </w:tc>
        <w:tc>
          <w:tcPr>
            <w:tcW w:w="71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8590.1</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15.76%</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3623.8</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2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22.16%</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2712.1</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7.55%</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550.4</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8.00%</w:t>
            </w:r>
          </w:p>
        </w:tc>
        <w:tc>
          <w:tcPr>
            <w:tcW w:w="731"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6.13%</w:t>
            </w:r>
          </w:p>
        </w:tc>
      </w:tr>
      <w:tr>
        <w:tblPrEx>
          <w:tblCellMar>
            <w:top w:w="15" w:type="dxa"/>
            <w:left w:w="15" w:type="dxa"/>
            <w:bottom w:w="15" w:type="dxa"/>
            <w:right w:w="15" w:type="dxa"/>
          </w:tblCellMar>
        </w:tblPrEx>
        <w:trPr>
          <w:trHeight w:val="285" w:hRule="atLeast"/>
          <w:jc w:val="center"/>
        </w:trPr>
        <w:tc>
          <w:tcPr>
            <w:tcW w:w="47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2018</w:t>
            </w:r>
          </w:p>
        </w:tc>
        <w:tc>
          <w:tcPr>
            <w:tcW w:w="71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9185.5</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18.57%</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4495.8</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23.00%</w:t>
            </w:r>
          </w:p>
        </w:tc>
        <w:tc>
          <w:tcPr>
            <w:tcW w:w="72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24.06%</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2941.2</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8.45%</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600.1</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7.00%</w:t>
            </w:r>
          </w:p>
        </w:tc>
        <w:tc>
          <w:tcPr>
            <w:tcW w:w="731"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9.03%</w:t>
            </w:r>
          </w:p>
        </w:tc>
      </w:tr>
      <w:tr>
        <w:tblPrEx>
          <w:tblCellMar>
            <w:top w:w="15" w:type="dxa"/>
            <w:left w:w="15" w:type="dxa"/>
            <w:bottom w:w="15" w:type="dxa"/>
            <w:right w:w="15" w:type="dxa"/>
          </w:tblCellMar>
        </w:tblPrEx>
        <w:trPr>
          <w:trHeight w:val="285" w:hRule="atLeast"/>
          <w:jc w:val="center"/>
        </w:trPr>
        <w:tc>
          <w:tcPr>
            <w:tcW w:w="47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2019</w:t>
            </w:r>
          </w:p>
        </w:tc>
        <w:tc>
          <w:tcPr>
            <w:tcW w:w="71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11944.5</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56.51%</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4988.2</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2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10.95%</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3815.5</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21.00%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29.73%</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1484.6</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147.39%</w:t>
            </w:r>
          </w:p>
        </w:tc>
      </w:tr>
      <w:tr>
        <w:tblPrEx>
          <w:tblCellMar>
            <w:top w:w="15" w:type="dxa"/>
            <w:left w:w="15" w:type="dxa"/>
            <w:bottom w:w="15" w:type="dxa"/>
            <w:right w:w="15" w:type="dxa"/>
          </w:tblCellMar>
        </w:tblPrEx>
        <w:trPr>
          <w:trHeight w:val="285" w:hRule="atLeast"/>
          <w:jc w:val="center"/>
        </w:trPr>
        <w:tc>
          <w:tcPr>
            <w:tcW w:w="47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2020</w:t>
            </w:r>
          </w:p>
        </w:tc>
        <w:tc>
          <w:tcPr>
            <w:tcW w:w="71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15488</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33.00%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9.52%</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5815.2</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19.00%</w:t>
            </w:r>
          </w:p>
        </w:tc>
        <w:tc>
          <w:tcPr>
            <w:tcW w:w="727"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16.58%</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3870.1</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15.00%</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1.43%</w:t>
            </w:r>
          </w:p>
        </w:tc>
        <w:tc>
          <w:tcPr>
            <w:tcW w:w="712"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1934.1</w:t>
            </w:r>
          </w:p>
        </w:tc>
        <w:tc>
          <w:tcPr>
            <w:tcW w:w="855"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30.28%</w:t>
            </w:r>
          </w:p>
        </w:tc>
      </w:tr>
      <w:tr>
        <w:tblPrEx>
          <w:tblCellMar>
            <w:top w:w="15" w:type="dxa"/>
            <w:left w:w="15" w:type="dxa"/>
            <w:bottom w:w="15" w:type="dxa"/>
            <w:right w:w="15" w:type="dxa"/>
          </w:tblCellMar>
        </w:tblPrEx>
        <w:trPr>
          <w:trHeight w:val="285" w:hRule="atLeast"/>
          <w:jc w:val="center"/>
        </w:trPr>
        <w:tc>
          <w:tcPr>
            <w:tcW w:w="47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2021</w:t>
            </w:r>
          </w:p>
        </w:tc>
        <w:tc>
          <w:tcPr>
            <w:tcW w:w="717"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22109.2</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32.00%</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26.63%</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7351.6</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27"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26.42%</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4321.5</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12.00%</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11.66%</w:t>
            </w:r>
          </w:p>
        </w:tc>
        <w:tc>
          <w:tcPr>
            <w:tcW w:w="712"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3435.7</w:t>
            </w:r>
          </w:p>
        </w:tc>
        <w:tc>
          <w:tcPr>
            <w:tcW w:w="855"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31" w:type="dxa"/>
            <w:tcBorders>
              <w:bottom w:val="single" w:color="000000" w:sz="4"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77.64%</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插图</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pPr>
        <w:jc w:val="center"/>
        <w:rPr>
          <w:rFonts w:hint="eastAsia"/>
          <w:sz w:val="24"/>
          <w:lang w:eastAsia="zh-Hans"/>
        </w:rPr>
      </w:pPr>
      <w:r>
        <w:rPr>
          <w:rFonts w:hint="eastAsia"/>
          <w:sz w:val="24"/>
          <w:lang w:eastAsia="zh-Hans"/>
        </w:rPr>
        <w:drawing>
          <wp:inline distT="0" distB="0" distL="114300" distR="114300">
            <wp:extent cx="4135755" cy="1294130"/>
            <wp:effectExtent l="0" t="0" r="17145" b="1270"/>
            <wp:docPr id="2" name="图片 8"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3"/>
                    <pic:cNvPicPr>
                      <a:picLocks noChangeAspect="1"/>
                    </pic:cNvPicPr>
                  </pic:nvPicPr>
                  <pic:blipFill>
                    <a:blip r:embed="rId6"/>
                    <a:stretch>
                      <a:fillRect/>
                    </a:stretch>
                  </pic:blipFill>
                  <pic:spPr>
                    <a:xfrm>
                      <a:off x="0" y="0"/>
                      <a:ext cx="4135755" cy="1294130"/>
                    </a:xfrm>
                    <a:prstGeom prst="rect">
                      <a:avLst/>
                    </a:prstGeom>
                    <a:noFill/>
                    <a:ln>
                      <a:noFill/>
                    </a:ln>
                  </pic:spPr>
                </pic:pic>
              </a:graphicData>
            </a:graphic>
          </wp:inline>
        </w:drawing>
      </w:r>
    </w:p>
    <w:p>
      <w:pPr>
        <w:spacing w:before="156" w:beforeLines="50" w:line="300" w:lineRule="auto"/>
        <w:jc w:val="center"/>
        <w:rPr>
          <w:rFonts w:hint="eastAsia" w:ascii="宋体" w:hAnsi="宋体" w:eastAsia="宋体" w:cs="宋体"/>
          <w:szCs w:val="21"/>
          <w:vertAlign w:val="superscript"/>
          <w:lang w:eastAsia="zh-CN"/>
        </w:rPr>
      </w:pPr>
      <w:r>
        <w:rPr>
          <w:rFonts w:hint="eastAsia" w:ascii="宋体" w:hAnsi="宋体" w:cs="宋体"/>
          <w:szCs w:val="21"/>
          <w:lang w:eastAsia="zh-Hans"/>
        </w:rPr>
        <w:t>图1 2017—2021年长三角自贸区两化融合发展指数</w:t>
      </w:r>
      <w:r>
        <w:rPr>
          <w:rFonts w:hint="eastAsia" w:ascii="宋体" w:hAnsi="宋体" w:cs="宋体"/>
          <w:szCs w:val="21"/>
          <w:vertAlign w:val="superscript"/>
          <w:lang w:eastAsia="zh-CN"/>
        </w:rPr>
        <w:t>【</w:t>
      </w:r>
      <w:r>
        <w:rPr>
          <w:rFonts w:hint="eastAsia" w:ascii="宋体" w:hAnsi="宋体" w:cs="宋体"/>
          <w:szCs w:val="21"/>
          <w:vertAlign w:val="superscript"/>
          <w:lang w:val="en-US" w:eastAsia="zh-CN"/>
        </w:rPr>
        <w:t>2</w:t>
      </w:r>
      <w:r>
        <w:rPr>
          <w:rFonts w:hint="eastAsia" w:ascii="宋体" w:hAnsi="宋体" w:cs="宋体"/>
          <w:szCs w:val="21"/>
          <w:vertAlign w:val="superscript"/>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九</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参考文献的内容包括：序号、作者名、书名或文章名、刊物名或出版社名、刊物期卷、页和日期，用宋体</w:t>
      </w:r>
      <w:r>
        <w:rPr>
          <w:rFonts w:hint="eastAsia" w:ascii="宋体" w:hAnsi="宋体" w:eastAsia="宋体" w:cs="宋体"/>
          <w:spacing w:val="0"/>
          <w:position w:val="0"/>
          <w:sz w:val="24"/>
          <w:szCs w:val="24"/>
          <w:lang w:val="en-US" w:eastAsia="zh-CN"/>
        </w:rPr>
        <w:t>五号</w:t>
      </w:r>
      <w:r>
        <w:rPr>
          <w:rFonts w:hint="eastAsia" w:ascii="宋体" w:hAnsi="宋体" w:eastAsia="宋体" w:cs="宋体"/>
          <w:spacing w:val="0"/>
          <w:position w:val="0"/>
          <w:sz w:val="24"/>
          <w:szCs w:val="24"/>
        </w:rPr>
        <w:t>，外文期刊名用</w:t>
      </w:r>
      <w:r>
        <w:rPr>
          <w:rFonts w:hint="eastAsia" w:ascii="宋体" w:hAnsi="宋体" w:eastAsia="宋体" w:cs="宋体"/>
          <w:i/>
          <w:color w:val="333333"/>
          <w:spacing w:val="0"/>
          <w:position w:val="0"/>
          <w:sz w:val="24"/>
          <w:szCs w:val="24"/>
          <w:shd w:val="clear" w:color="auto" w:fill="FFFFFF"/>
        </w:rPr>
        <w:t>Times New Roman</w:t>
      </w:r>
      <w:r>
        <w:rPr>
          <w:rFonts w:hint="eastAsia" w:ascii="宋体" w:hAnsi="宋体" w:eastAsia="宋体" w:cs="宋体"/>
          <w:i/>
          <w:color w:val="333333"/>
          <w:spacing w:val="0"/>
          <w:position w:val="0"/>
          <w:sz w:val="24"/>
          <w:szCs w:val="24"/>
          <w:shd w:val="clear" w:color="auto" w:fill="FFFFFF"/>
          <w:lang w:eastAsia="zh-CN"/>
        </w:rPr>
        <w:t>。</w:t>
      </w:r>
      <w:r>
        <w:rPr>
          <w:rFonts w:hint="eastAsia" w:ascii="宋体" w:hAnsi="宋体" w:eastAsia="宋体" w:cs="宋体"/>
          <w:spacing w:val="0"/>
          <w:position w:val="0"/>
          <w:sz w:val="24"/>
          <w:szCs w:val="24"/>
        </w:rPr>
        <w:t>推荐使用GB/T7714标准格式引用文献。</w:t>
      </w:r>
      <w:r>
        <w:rPr>
          <w:rFonts w:hint="eastAsia" w:ascii="宋体" w:hAnsi="宋体" w:eastAsia="宋体" w:cs="宋体"/>
          <w:spacing w:val="0"/>
          <w:position w:val="0"/>
          <w:sz w:val="24"/>
          <w:szCs w:val="24"/>
          <w:lang w:val="en-US" w:eastAsia="zh-CN"/>
        </w:rPr>
        <w:t>正文文献引用使用顺序编码制，</w:t>
      </w:r>
      <w:r>
        <w:rPr>
          <w:rFonts w:hint="eastAsia" w:ascii="宋体" w:hAnsi="宋体" w:eastAsia="宋体" w:cs="宋体"/>
          <w:spacing w:val="0"/>
          <w:position w:val="0"/>
          <w:sz w:val="24"/>
          <w:szCs w:val="24"/>
        </w:rPr>
        <w:t>按正文中引用的文献出现的先后顺序连续编码，并将序号置于</w:t>
      </w:r>
      <w:r>
        <w:rPr>
          <w:rFonts w:hint="eastAsia" w:ascii="宋体" w:hAnsi="宋体" w:eastAsia="宋体" w:cs="宋体"/>
          <w:spacing w:val="0"/>
          <w:position w:val="0"/>
          <w:sz w:val="24"/>
          <w:szCs w:val="24"/>
          <w:lang w:val="en-US" w:eastAsia="zh-CN"/>
        </w:rPr>
        <w:t>右上角</w:t>
      </w:r>
      <w:r>
        <w:rPr>
          <w:rFonts w:hint="eastAsia" w:ascii="宋体" w:hAnsi="宋体" w:eastAsia="宋体" w:cs="宋体"/>
          <w:spacing w:val="0"/>
          <w:position w:val="0"/>
          <w:sz w:val="24"/>
          <w:szCs w:val="24"/>
        </w:rPr>
        <w:t>方括号中。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（十）参考文献类型或文献载体标识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32"/>
        <w:gridCol w:w="39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普通图书Monograph</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报告Report</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会议文集Conference works</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数据库Database</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汇编General</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[G]</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电子公告Electronic-Bulletin-board online</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期刊Journal</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[J]</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联机网络On Line</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学位论文Dissertation</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[D]</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磁带Magnetic Tape</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专利Patent</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[P]</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磁盘Disk</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标准Standard</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[S]</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光盘CD-ROM</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报纸Newspaper</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[N]</w:t>
            </w:r>
          </w:p>
        </w:tc>
        <w:tc>
          <w:tcPr>
            <w:tcW w:w="3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其他</w:t>
            </w:r>
          </w:p>
        </w:tc>
        <w:tc>
          <w:tcPr>
            <w:tcW w:w="19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[Z]</w:t>
            </w:r>
          </w:p>
        </w:tc>
      </w:tr>
    </w:tbl>
    <w:p>
      <w:pPr>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参考文献</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[1]</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张伯伟.全唐五代诗格会考[M].南京:江苏古籍出版社,2002:288.</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[2]</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中国社会科学院台湾史研究中心.台湾光复六十五周年暨抗战史实学术研讨会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论文集[C].北京:九州出版社,2012.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[3]</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中国职工教育研究会.职工教育研究论文集[G].北京:人民教育出版社,1985.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[4]</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lang w:val="en-US" w:eastAsia="zh-CN"/>
        </w:rPr>
        <w:t>丁文详.数字革命与竞争国际化[N].中国青年报,2000-11-20(15).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[5]</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胡文广，段淑芬，许婷婷.花生农药残留限量国家标准分析[J]</w:t>
      </w:r>
      <w:r>
        <w:rPr>
          <w:rFonts w:hint="eastAsia" w:ascii="Times New Roman" w:hAnsi="Times New Roman" w:eastAsia="宋体" w:cs="Times New Roman"/>
          <w:spacing w:val="11"/>
          <w:sz w:val="21"/>
          <w:szCs w:val="21"/>
          <w:lang w:val="en-US" w:eastAsia="zh-CN"/>
        </w:rPr>
        <w:t>.</w:t>
      </w:r>
      <w:r>
        <w:rPr>
          <w:rFonts w:hint="eastAsia" w:ascii="Times New Roman" w:hAnsi="Times New Roman" w:eastAsia="宋体" w:cs="Times New Roman"/>
          <w:spacing w:val="11"/>
          <w:sz w:val="21"/>
          <w:szCs w:val="21"/>
        </w:rPr>
        <w:t>花生学报，2006，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Vol.25，No.1：15-18.</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[6] 马欢.人类活动影响下海河流域典型区水循环变化分析[D/OL].北京:清华大学,2011:27[2013-10-14].http://www.cnki.net/kcms/detail/detail.aspx?dbcode=CDFD&amp;QueryID=.0&amp;CurRec=11&amp;dbname=CDFDLAST2013&amp;filename=1012035905.nh&amp;uid=WEEvREcwSlJHSldTTGJhYlJRaEhGUXFQWVB6SGZXeisxdmVhV3ZyZkpoUnozeDE1b0paM0NmMjZiQ3p4TUdmcw=.</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[7] 中华人民共和国国务院新闻办公室.国防白皮书:中国武装力量的多样化运用[R/OL].(2013-04-16)[2014-06-11].http://www.mod.gov.cn/affair/2013-04/16/content_4442839.htm.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[8] 全国信息与文献标准化技术委员会.文献著录:第4部分 非书资料:GB/T3792.4—2009[S].北京:中国标准出版社,2010:3.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[9] 张凯军.轨道火车及高速轨道火车紧急安全制动辅助装置:201220158825.2[P].2012-04-05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 xml:space="preserve">[10] </w:t>
      </w:r>
      <w:r>
        <w:rPr>
          <w:rFonts w:hint="eastAsia" w:ascii="Times New Roman" w:hAnsi="Times New Roman" w:eastAsia="宋体" w:cs="Times New Roman"/>
          <w:spacing w:val="11"/>
          <w:sz w:val="21"/>
          <w:szCs w:val="21"/>
        </w:rPr>
        <w:t>萧钰.出版业信息化迈入快车道[EB/OL].(2001-12-19)[2002-04-15].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64" w:firstLineChars="200"/>
        <w:textAlignment w:val="auto"/>
        <w:rPr>
          <w:rFonts w:hint="default" w:ascii="Times New Roman" w:hAnsi="Times New Roman" w:eastAsia="宋体" w:cs="Times New Roman"/>
          <w:spacing w:val="0"/>
          <w:position w:val="0"/>
          <w:sz w:val="28"/>
          <w:szCs w:val="28"/>
          <w:lang w:val="en-US" w:eastAsia="zh-CN"/>
        </w:rPr>
      </w:pPr>
      <w:r>
        <w:rPr>
          <w:rFonts w:hint="eastAsia" w:ascii="Times New Roman" w:hAnsi="Times New Roman" w:eastAsia="宋体" w:cs="Times New Roman"/>
          <w:spacing w:val="11"/>
          <w:sz w:val="21"/>
          <w:szCs w:val="21"/>
        </w:rPr>
        <w:t>http://www.creader.com/news/20011219/200112190019.html.</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qyt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YvOXPC0sDP37+df/w6//zK&#10;lt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kqyt8BAAC/AwAADgAAAAAA&#10;AAABACAAAAAeAQAAZHJzL2Uyb0RvYy54bWxQSwUGAAAAAAYABgBZAQAAb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eastAsia="宋体"/>
        <w:lang w:val="en-US" w:eastAsia="zh-CN"/>
      </w:rPr>
    </w:pPr>
    <w:r>
      <w:rPr>
        <w:sz w:val="18"/>
      </w:rPr>
      <w:drawing>
        <wp:anchor distT="0" distB="0" distL="114300" distR="114300" simplePos="0" relativeHeight="251659264" behindDoc="1" locked="0" layoutInCell="1" allowOverlap="1">
          <wp:simplePos x="0" y="0"/>
          <wp:positionH relativeFrom="margin">
            <wp:align>right</wp:align>
          </wp:positionH>
          <wp:positionV relativeFrom="margin">
            <wp:posOffset>-720090</wp:posOffset>
          </wp:positionV>
          <wp:extent cx="1326515" cy="1326515"/>
          <wp:effectExtent l="0" t="0" r="6985" b="6985"/>
          <wp:wrapNone/>
          <wp:docPr id="3" name="WordPictureWatermark73585" descr="合肥大学常用标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585" descr="合肥大学常用标志1"/>
                  <pic:cNvPicPr>
                    <a:picLocks noChangeAspect="1"/>
                  </pic:cNvPicPr>
                </pic:nvPicPr>
                <pic:blipFill>
                  <a:blip r:embed="rId1">
                    <a:lum bright="69998" contrast="-70001"/>
                  </a:blip>
                  <a:stretch>
                    <a:fillRect/>
                  </a:stretch>
                </pic:blipFill>
                <pic:spPr>
                  <a:xfrm>
                    <a:off x="0" y="0"/>
                    <a:ext cx="1326515" cy="1326515"/>
                  </a:xfrm>
                  <a:prstGeom prst="rect">
                    <a:avLst/>
                  </a:prstGeom>
                  <a:noFill/>
                  <a:ln>
                    <a:noFill/>
                  </a:ln>
                </pic:spPr>
              </pic:pic>
            </a:graphicData>
          </a:graphic>
        </wp:anchor>
      </w:drawing>
    </w:r>
    <w:r>
      <w:rPr>
        <w:rFonts w:hint="eastAsia"/>
        <w:lang w:val="en-US" w:eastAsia="zh-CN"/>
      </w:rPr>
      <w:t>合肥大学毕业设计（论文）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94F11"/>
    <w:multiLevelType w:val="singleLevel"/>
    <w:tmpl w:val="DFF94F11"/>
    <w:lvl w:ilvl="0" w:tentative="0">
      <w:start w:val="1"/>
      <w:numFmt w:val="chineseCounting"/>
      <w:suff w:val="nothing"/>
      <w:lvlText w:val="%1、"/>
      <w:lvlJc w:val="left"/>
      <w:rPr>
        <w:rFonts w:hint="eastAsia"/>
      </w:rPr>
    </w:lvl>
  </w:abstractNum>
  <w:abstractNum w:abstractNumId="1">
    <w:nsid w:val="548ADD31"/>
    <w:multiLevelType w:val="singleLevel"/>
    <w:tmpl w:val="548ADD3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DM0YTk3ODZmMjhjYzFiMmQwZDRhODJhNjg5MDEifQ=="/>
  </w:docVars>
  <w:rsids>
    <w:rsidRoot w:val="00F44759"/>
    <w:rsid w:val="000709EA"/>
    <w:rsid w:val="001A0435"/>
    <w:rsid w:val="007F3854"/>
    <w:rsid w:val="0089188D"/>
    <w:rsid w:val="00C554CD"/>
    <w:rsid w:val="00C93538"/>
    <w:rsid w:val="00CB72D2"/>
    <w:rsid w:val="00F44759"/>
    <w:rsid w:val="01661F13"/>
    <w:rsid w:val="022A2E24"/>
    <w:rsid w:val="03064EF7"/>
    <w:rsid w:val="035B7B35"/>
    <w:rsid w:val="03E23DAA"/>
    <w:rsid w:val="041A2BF4"/>
    <w:rsid w:val="0430146C"/>
    <w:rsid w:val="048B7FD1"/>
    <w:rsid w:val="04BC5D9C"/>
    <w:rsid w:val="051A7A45"/>
    <w:rsid w:val="05504736"/>
    <w:rsid w:val="05C55D30"/>
    <w:rsid w:val="06D313A0"/>
    <w:rsid w:val="071C5C86"/>
    <w:rsid w:val="07355047"/>
    <w:rsid w:val="0865619C"/>
    <w:rsid w:val="0902280F"/>
    <w:rsid w:val="09B277E0"/>
    <w:rsid w:val="09D718D9"/>
    <w:rsid w:val="0B38718C"/>
    <w:rsid w:val="0C927A82"/>
    <w:rsid w:val="0DA85313"/>
    <w:rsid w:val="0E2A1C4C"/>
    <w:rsid w:val="0EA16EDC"/>
    <w:rsid w:val="0EA44D0D"/>
    <w:rsid w:val="0EE83C31"/>
    <w:rsid w:val="0F4C348B"/>
    <w:rsid w:val="0FEE581E"/>
    <w:rsid w:val="10633135"/>
    <w:rsid w:val="10DA5048"/>
    <w:rsid w:val="10E176C3"/>
    <w:rsid w:val="10E24DDC"/>
    <w:rsid w:val="11A20384"/>
    <w:rsid w:val="11DC4505"/>
    <w:rsid w:val="128678CF"/>
    <w:rsid w:val="12D15108"/>
    <w:rsid w:val="148461AA"/>
    <w:rsid w:val="14FD6A90"/>
    <w:rsid w:val="15FF7598"/>
    <w:rsid w:val="177B1AE6"/>
    <w:rsid w:val="185E21AA"/>
    <w:rsid w:val="18777D79"/>
    <w:rsid w:val="1A4F792D"/>
    <w:rsid w:val="1A82318C"/>
    <w:rsid w:val="1A953F46"/>
    <w:rsid w:val="1BA62EAA"/>
    <w:rsid w:val="1CBE112A"/>
    <w:rsid w:val="1E361C8E"/>
    <w:rsid w:val="1F511F82"/>
    <w:rsid w:val="203F3818"/>
    <w:rsid w:val="20994503"/>
    <w:rsid w:val="20DB25D3"/>
    <w:rsid w:val="21274A8D"/>
    <w:rsid w:val="21E64000"/>
    <w:rsid w:val="229F5BEF"/>
    <w:rsid w:val="22D05B48"/>
    <w:rsid w:val="22F42B93"/>
    <w:rsid w:val="235048FF"/>
    <w:rsid w:val="236B6EB3"/>
    <w:rsid w:val="25BE7118"/>
    <w:rsid w:val="27231B41"/>
    <w:rsid w:val="272F4BD3"/>
    <w:rsid w:val="279C3372"/>
    <w:rsid w:val="27E24418"/>
    <w:rsid w:val="28B10C06"/>
    <w:rsid w:val="29F41202"/>
    <w:rsid w:val="2ABC5222"/>
    <w:rsid w:val="2CF77A09"/>
    <w:rsid w:val="2D641602"/>
    <w:rsid w:val="2E532BB1"/>
    <w:rsid w:val="2EBC1AF3"/>
    <w:rsid w:val="2F926074"/>
    <w:rsid w:val="2FCF797C"/>
    <w:rsid w:val="2FE17749"/>
    <w:rsid w:val="30AE7BC6"/>
    <w:rsid w:val="30B63F8A"/>
    <w:rsid w:val="314E4A9B"/>
    <w:rsid w:val="31A517E2"/>
    <w:rsid w:val="31D2634F"/>
    <w:rsid w:val="32B37F2E"/>
    <w:rsid w:val="33593703"/>
    <w:rsid w:val="336A1CFA"/>
    <w:rsid w:val="33C30645"/>
    <w:rsid w:val="36767D98"/>
    <w:rsid w:val="36C158C1"/>
    <w:rsid w:val="37210348"/>
    <w:rsid w:val="37691EBB"/>
    <w:rsid w:val="376932B2"/>
    <w:rsid w:val="37C64260"/>
    <w:rsid w:val="38110524"/>
    <w:rsid w:val="38163439"/>
    <w:rsid w:val="38D66316"/>
    <w:rsid w:val="398E2E08"/>
    <w:rsid w:val="3A73756D"/>
    <w:rsid w:val="3A8F1281"/>
    <w:rsid w:val="3A96500E"/>
    <w:rsid w:val="3BCE5DD9"/>
    <w:rsid w:val="3C2E0626"/>
    <w:rsid w:val="3C361070"/>
    <w:rsid w:val="3CBB635D"/>
    <w:rsid w:val="3DB248CD"/>
    <w:rsid w:val="3DD708C5"/>
    <w:rsid w:val="3E104487"/>
    <w:rsid w:val="3E637128"/>
    <w:rsid w:val="3E94559F"/>
    <w:rsid w:val="3F446E7E"/>
    <w:rsid w:val="3F656A54"/>
    <w:rsid w:val="3FE519CC"/>
    <w:rsid w:val="41010C1D"/>
    <w:rsid w:val="41710F8E"/>
    <w:rsid w:val="421175EA"/>
    <w:rsid w:val="42240501"/>
    <w:rsid w:val="429261BB"/>
    <w:rsid w:val="436314FD"/>
    <w:rsid w:val="45174DD2"/>
    <w:rsid w:val="461D1E37"/>
    <w:rsid w:val="46814B14"/>
    <w:rsid w:val="46E666CD"/>
    <w:rsid w:val="47483CC8"/>
    <w:rsid w:val="486E0E2D"/>
    <w:rsid w:val="48932803"/>
    <w:rsid w:val="489B5295"/>
    <w:rsid w:val="49AD7933"/>
    <w:rsid w:val="49C3226E"/>
    <w:rsid w:val="49CB008E"/>
    <w:rsid w:val="4A2844F8"/>
    <w:rsid w:val="4A301732"/>
    <w:rsid w:val="4A840963"/>
    <w:rsid w:val="4BBE2AEB"/>
    <w:rsid w:val="4BC904CC"/>
    <w:rsid w:val="4D2A411E"/>
    <w:rsid w:val="4D9828FA"/>
    <w:rsid w:val="4DD22D73"/>
    <w:rsid w:val="4E7F31FC"/>
    <w:rsid w:val="4E854A1D"/>
    <w:rsid w:val="4EBA2F55"/>
    <w:rsid w:val="4ED07AB5"/>
    <w:rsid w:val="4EEA4880"/>
    <w:rsid w:val="4FE666FD"/>
    <w:rsid w:val="507E7AD2"/>
    <w:rsid w:val="51E6499A"/>
    <w:rsid w:val="523A6D37"/>
    <w:rsid w:val="5263074D"/>
    <w:rsid w:val="53354DB4"/>
    <w:rsid w:val="551F0B77"/>
    <w:rsid w:val="55306B8D"/>
    <w:rsid w:val="55D41DE6"/>
    <w:rsid w:val="55D909B9"/>
    <w:rsid w:val="578635A1"/>
    <w:rsid w:val="586902DC"/>
    <w:rsid w:val="5A064894"/>
    <w:rsid w:val="5AFA409D"/>
    <w:rsid w:val="5B3E433F"/>
    <w:rsid w:val="5EEB2E56"/>
    <w:rsid w:val="5FC42FBA"/>
    <w:rsid w:val="60B30F76"/>
    <w:rsid w:val="62C24CCF"/>
    <w:rsid w:val="636015E0"/>
    <w:rsid w:val="63F671E7"/>
    <w:rsid w:val="651144BD"/>
    <w:rsid w:val="65943DCC"/>
    <w:rsid w:val="65EB4803"/>
    <w:rsid w:val="65EB7543"/>
    <w:rsid w:val="662242CD"/>
    <w:rsid w:val="66742F55"/>
    <w:rsid w:val="66A674E6"/>
    <w:rsid w:val="67053CB2"/>
    <w:rsid w:val="68A5389A"/>
    <w:rsid w:val="69F33097"/>
    <w:rsid w:val="6A413A96"/>
    <w:rsid w:val="6A500CAE"/>
    <w:rsid w:val="6AED71A5"/>
    <w:rsid w:val="6C223520"/>
    <w:rsid w:val="6CE14F1B"/>
    <w:rsid w:val="6CE3400E"/>
    <w:rsid w:val="6F3A279F"/>
    <w:rsid w:val="6F8E2268"/>
    <w:rsid w:val="70527A0A"/>
    <w:rsid w:val="71797A40"/>
    <w:rsid w:val="71BC3A02"/>
    <w:rsid w:val="71C805F9"/>
    <w:rsid w:val="732C4CD4"/>
    <w:rsid w:val="74DF1EE2"/>
    <w:rsid w:val="75FE00A6"/>
    <w:rsid w:val="76934DC0"/>
    <w:rsid w:val="769A6FFB"/>
    <w:rsid w:val="77302EC9"/>
    <w:rsid w:val="77B852EA"/>
    <w:rsid w:val="78F921D5"/>
    <w:rsid w:val="78FB7560"/>
    <w:rsid w:val="79147A06"/>
    <w:rsid w:val="79305402"/>
    <w:rsid w:val="79EF748B"/>
    <w:rsid w:val="79F104C4"/>
    <w:rsid w:val="7A2167BA"/>
    <w:rsid w:val="7A750F1A"/>
    <w:rsid w:val="7AF10738"/>
    <w:rsid w:val="7AF16E13"/>
    <w:rsid w:val="7B031A03"/>
    <w:rsid w:val="7B0B43D0"/>
    <w:rsid w:val="7B942DEF"/>
    <w:rsid w:val="7CE87CF7"/>
    <w:rsid w:val="7CE87D68"/>
    <w:rsid w:val="7CFB7AD5"/>
    <w:rsid w:val="7E203B02"/>
    <w:rsid w:val="7E7C79BD"/>
    <w:rsid w:val="7FF752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napToGrid w:val="0"/>
      <w:spacing w:val="10"/>
      <w:sz w:val="21"/>
      <w:szCs w:val="21"/>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30"/>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caption"/>
    <w:basedOn w:val="1"/>
    <w:next w:val="1"/>
    <w:autoRedefine/>
    <w:qFormat/>
    <w:uiPriority w:val="0"/>
    <w:rPr>
      <w:rFonts w:ascii="Arial" w:hAnsi="Arial" w:eastAsia="黑体" w:cs="Arial"/>
      <w:sz w:val="20"/>
      <w:szCs w:val="20"/>
    </w:rPr>
  </w:style>
  <w:style w:type="paragraph" w:styleId="6">
    <w:name w:val="annotation text"/>
    <w:basedOn w:val="1"/>
    <w:autoRedefine/>
    <w:semiHidden/>
    <w:qFormat/>
    <w:uiPriority w:val="0"/>
    <w:pPr>
      <w:jc w:val="left"/>
    </w:pPr>
  </w:style>
  <w:style w:type="paragraph" w:styleId="7">
    <w:name w:val="toc 3"/>
    <w:basedOn w:val="1"/>
    <w:next w:val="1"/>
    <w:autoRedefine/>
    <w:semiHidden/>
    <w:qFormat/>
    <w:uiPriority w:val="0"/>
    <w:pPr>
      <w:ind w:left="840" w:leftChars="400"/>
    </w:pPr>
  </w:style>
  <w:style w:type="paragraph" w:styleId="8">
    <w:name w:val="Plain Text"/>
    <w:basedOn w:val="1"/>
    <w:autoRedefine/>
    <w:qFormat/>
    <w:uiPriority w:val="0"/>
    <w:rPr>
      <w:rFonts w:ascii="宋体" w:hAnsi="Courier New" w:cs="Courier New"/>
    </w:rPr>
  </w:style>
  <w:style w:type="paragraph" w:styleId="9">
    <w:name w:val="endnote text"/>
    <w:basedOn w:val="1"/>
    <w:autoRedefine/>
    <w:qFormat/>
    <w:uiPriority w:val="0"/>
    <w:pPr>
      <w:snapToGrid w:val="0"/>
      <w:jc w:val="left"/>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835"/>
      </w:tabs>
      <w:jc w:val="left"/>
    </w:pPr>
  </w:style>
  <w:style w:type="paragraph" w:styleId="14">
    <w:name w:val="footnote text"/>
    <w:basedOn w:val="1"/>
    <w:autoRedefine/>
    <w:semiHidden/>
    <w:qFormat/>
    <w:uiPriority w:val="0"/>
    <w:pPr>
      <w:snapToGrid w:val="0"/>
      <w:jc w:val="left"/>
    </w:pPr>
    <w:rPr>
      <w:sz w:val="18"/>
      <w:szCs w:val="18"/>
    </w:rPr>
  </w:style>
  <w:style w:type="paragraph" w:styleId="15">
    <w:name w:val="toc 2"/>
    <w:basedOn w:val="1"/>
    <w:next w:val="1"/>
    <w:autoRedefine/>
    <w:semiHidden/>
    <w:qFormat/>
    <w:uiPriority w:val="0"/>
    <w:pPr>
      <w:ind w:left="420" w:leftChars="200"/>
    </w:pPr>
  </w:style>
  <w:style w:type="paragraph" w:styleId="16">
    <w:name w:val="annotation subject"/>
    <w:basedOn w:val="6"/>
    <w:next w:val="6"/>
    <w:autoRedefine/>
    <w:semiHidden/>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qFormat/>
    <w:uiPriority w:val="0"/>
    <w:rPr>
      <w:vertAlign w:val="superscript"/>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semiHidden/>
    <w:qFormat/>
    <w:uiPriority w:val="0"/>
    <w:rPr>
      <w:sz w:val="21"/>
      <w:szCs w:val="21"/>
    </w:rPr>
  </w:style>
  <w:style w:type="character" w:styleId="24">
    <w:name w:val="footnote reference"/>
    <w:basedOn w:val="19"/>
    <w:autoRedefine/>
    <w:semiHidden/>
    <w:qFormat/>
    <w:uiPriority w:val="0"/>
    <w:rPr>
      <w:vertAlign w:val="superscript"/>
    </w:rPr>
  </w:style>
  <w:style w:type="character" w:customStyle="1" w:styleId="25">
    <w:name w:val="style291"/>
    <w:basedOn w:val="19"/>
    <w:autoRedefine/>
    <w:qFormat/>
    <w:uiPriority w:val="0"/>
    <w:rPr>
      <w:sz w:val="12"/>
      <w:szCs w:val="12"/>
    </w:rPr>
  </w:style>
  <w:style w:type="character" w:customStyle="1" w:styleId="26">
    <w:name w:val="style321"/>
    <w:basedOn w:val="19"/>
    <w:autoRedefine/>
    <w:qFormat/>
    <w:uiPriority w:val="0"/>
    <w:rPr>
      <w:color w:val="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9</Pages>
  <Words>1312</Words>
  <Characters>7484</Characters>
  <Lines>62</Lines>
  <Paragraphs>17</Paragraphs>
  <TotalTime>9</TotalTime>
  <ScaleCrop>false</ScaleCrop>
  <LinksUpToDate>false</LinksUpToDate>
  <CharactersWithSpaces>8779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2015-12-24T08:41:00Z</dcterms:created>
  <dc:creator>xiexs</dc:creator>
  <cp:lastModifiedBy>实践科</cp:lastModifiedBy>
  <dcterms:modified xsi:type="dcterms:W3CDTF">2024-04-01T06:59:07Z</dcterms:modified>
  <dc:title>涂膜抑制花生仁贮藏过程中黄曲霉毒素含量的研究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EC83A3A1EEA348A8927BCFA780EC3F57_13</vt:lpwstr>
  </property>
</Properties>
</file>