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cs="Calibri"/>
          <w:b/>
          <w:bCs/>
          <w:color w:val="000000"/>
          <w:sz w:val="36"/>
          <w:szCs w:val="36"/>
        </w:rPr>
      </w:pPr>
      <w:r>
        <w:rPr>
          <w:rStyle w:val="9"/>
          <w:rFonts w:hint="eastAsia" w:cs="Calibri"/>
          <w:b/>
          <w:bCs/>
          <w:color w:val="000000"/>
          <w:sz w:val="36"/>
          <w:szCs w:val="36"/>
        </w:rPr>
        <w:t xml:space="preserve">合肥学院第九届“挑战杯”大学生创业计划竞赛启动仪式暨合肥学院第九届“挑战杯”大学生课外学术 </w:t>
      </w:r>
      <w:r>
        <w:rPr>
          <w:rStyle w:val="9"/>
          <w:rFonts w:cs="Calibri"/>
          <w:b/>
          <w:bCs/>
          <w:color w:val="000000"/>
          <w:sz w:val="36"/>
          <w:szCs w:val="36"/>
        </w:rPr>
        <w:t xml:space="preserve"> </w:t>
      </w:r>
      <w:r>
        <w:rPr>
          <w:rStyle w:val="9"/>
          <w:rFonts w:hint="eastAsia" w:cs="Calibri"/>
          <w:b/>
          <w:bCs/>
          <w:color w:val="000000"/>
          <w:sz w:val="36"/>
          <w:szCs w:val="36"/>
        </w:rPr>
        <w:t>科技作品竞赛表彰大会颁奖安排</w:t>
      </w:r>
    </w:p>
    <w:p>
      <w:pPr>
        <w:pStyle w:val="10"/>
        <w:shd w:val="clear" w:color="auto" w:fill="FFFFFF"/>
        <w:spacing w:before="0" w:beforeAutospacing="0" w:after="0" w:afterAutospacing="0" w:line="600" w:lineRule="exact"/>
        <w:ind w:firstLine="562" w:firstLineChars="200"/>
        <w:rPr>
          <w:rFonts w:ascii="Calibri" w:hAnsi="Calibri" w:cs="Calibri"/>
          <w:color w:val="000000"/>
          <w:sz w:val="21"/>
          <w:szCs w:val="21"/>
        </w:rPr>
      </w:pPr>
      <w:r>
        <w:rPr>
          <w:rStyle w:val="11"/>
          <w:rFonts w:hint="eastAsia" w:ascii="仿宋_GB2312" w:hAnsi="Calibri" w:eastAsia="仿宋_GB2312" w:cs="Calibri"/>
          <w:b/>
          <w:bCs/>
          <w:color w:val="000000"/>
          <w:sz w:val="28"/>
          <w:szCs w:val="28"/>
        </w:rPr>
        <w:t>一、优秀组织奖获奖单位（5个）</w:t>
      </w:r>
    </w:p>
    <w:p>
      <w:pPr>
        <w:spacing w:line="60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先进制造与工程学院、人工智能与大数据学院、城市建设与交通学院、生物食品与环境学院</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语言文化与传媒学院</w:t>
      </w:r>
    </w:p>
    <w:p>
      <w:pPr>
        <w:spacing w:line="600" w:lineRule="exact"/>
        <w:ind w:firstLine="562" w:firstLineChars="200"/>
        <w:rPr>
          <w:rFonts w:ascii="仿宋_GB2312" w:eastAsia="仿宋_GB2312"/>
          <w:b/>
          <w:bCs/>
          <w:sz w:val="28"/>
          <w:szCs w:val="28"/>
        </w:rPr>
      </w:pPr>
      <w:r>
        <w:rPr>
          <w:rFonts w:hint="eastAsia" w:ascii="仿宋_GB2312" w:eastAsia="仿宋_GB2312"/>
          <w:b/>
          <w:bCs/>
          <w:sz w:val="28"/>
          <w:szCs w:val="28"/>
        </w:rPr>
        <w:t>二、优秀指导老师（14人）</w:t>
      </w:r>
    </w:p>
    <w:p>
      <w:pPr>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第一组：</w:t>
      </w:r>
    </w:p>
    <w:p>
      <w:pPr>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梁子君、汪彩梅、李正茂、丁健、汪高元、郭静、黄海波</w:t>
      </w:r>
    </w:p>
    <w:p>
      <w:pPr>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第二组：</w:t>
      </w:r>
    </w:p>
    <w:p>
      <w:pPr>
        <w:spacing w:line="6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胡坤宏、郝玉成、刘婧、巫杨、卢军、高先和、张胜</w:t>
      </w:r>
    </w:p>
    <w:p>
      <w:pPr>
        <w:pStyle w:val="10"/>
        <w:shd w:val="clear" w:color="auto" w:fill="FFFFFF"/>
        <w:spacing w:before="0" w:beforeAutospacing="0" w:after="0" w:afterAutospacing="0" w:line="400" w:lineRule="atLeast"/>
        <w:ind w:firstLine="760"/>
        <w:jc w:val="both"/>
        <w:rPr>
          <w:rFonts w:ascii="Calibri" w:hAnsi="Calibri" w:cs="Calibri"/>
          <w:color w:val="000000"/>
          <w:sz w:val="21"/>
          <w:szCs w:val="21"/>
        </w:rPr>
      </w:pPr>
      <w:r>
        <w:rPr>
          <w:rStyle w:val="11"/>
          <w:rFonts w:hint="eastAsia" w:ascii="仿宋_GB2312" w:hAnsi="Calibri" w:eastAsia="仿宋_GB2312" w:cs="Calibri"/>
          <w:b/>
          <w:bCs/>
          <w:color w:val="000000"/>
          <w:sz w:val="28"/>
          <w:szCs w:val="28"/>
        </w:rPr>
        <w:t>三、优秀团队（15组）</w:t>
      </w:r>
    </w:p>
    <w:p>
      <w:pPr>
        <w:pStyle w:val="10"/>
        <w:shd w:val="clear" w:color="auto" w:fill="FFFFFF"/>
        <w:spacing w:before="0" w:beforeAutospacing="0" w:after="0" w:afterAutospacing="0" w:line="400" w:lineRule="atLeas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一等奖:</w:t>
      </w:r>
    </w:p>
    <w:p>
      <w:pPr>
        <w:pStyle w:val="10"/>
        <w:shd w:val="clear" w:color="auto" w:fill="FFFFFF"/>
        <w:spacing w:before="0" w:beforeAutospacing="0" w:after="0" w:afterAutospacing="0" w:line="400" w:lineRule="atLeast"/>
        <w:ind w:firstLine="560" w:firstLineChars="200"/>
        <w:rPr>
          <w:rFonts w:ascii="Calibri" w:hAnsi="Calibri" w:cs="Calibri"/>
          <w:color w:val="000000"/>
          <w:sz w:val="21"/>
          <w:szCs w:val="21"/>
        </w:rPr>
      </w:pPr>
      <w:r>
        <w:rPr>
          <w:rFonts w:hint="eastAsia" w:ascii="仿宋_GB2312" w:hAnsi="仿宋_GB2312" w:eastAsia="仿宋_GB2312" w:cs="仿宋_GB2312"/>
          <w:color w:val="333333"/>
          <w:sz w:val="28"/>
          <w:szCs w:val="28"/>
          <w:shd w:val="clear" w:color="auto" w:fill="FFFFFF"/>
        </w:rPr>
        <w:t>《基于多维交通流的交叉口时段划分与相位配时设计及闭环校验算法模型》</w:t>
      </w:r>
      <w:r>
        <w:rPr>
          <w:rStyle w:val="11"/>
          <w:rFonts w:hint="eastAsia" w:ascii="仿宋_GB2312" w:hAnsi="Calibri" w:eastAsia="仿宋_GB2312" w:cs="Calibri"/>
          <w:color w:val="000000"/>
          <w:sz w:val="28"/>
          <w:szCs w:val="28"/>
        </w:rPr>
        <w:t>（团队负责人孔微）</w:t>
      </w:r>
    </w:p>
    <w:p>
      <w:pPr>
        <w:pStyle w:val="4"/>
        <w:shd w:val="clear" w:color="auto" w:fill="FFFFFF"/>
        <w:spacing w:beforeAutospacing="0" w:after="90" w:afterAutospacing="0" w:line="600" w:lineRule="exac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二等奖:</w:t>
      </w:r>
    </w:p>
    <w:p>
      <w:pPr>
        <w:pStyle w:val="4"/>
        <w:shd w:val="clear" w:color="auto" w:fill="FFFFFF"/>
        <w:spacing w:beforeAutospacing="0" w:after="90" w:afterAutospacing="0" w:line="600" w:lineRule="exac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《国密云安全储存系统》</w:t>
      </w:r>
      <w:r>
        <w:rPr>
          <w:rStyle w:val="11"/>
          <w:rFonts w:hint="eastAsia" w:ascii="仿宋_GB2312" w:hAnsi="Calibri" w:eastAsia="仿宋_GB2312" w:cs="Calibri"/>
          <w:color w:val="000000"/>
          <w:sz w:val="28"/>
          <w:szCs w:val="28"/>
        </w:rPr>
        <w:t>（团队负责人周子健）</w:t>
      </w:r>
    </w:p>
    <w:p>
      <w:pPr>
        <w:pStyle w:val="4"/>
        <w:shd w:val="clear" w:color="auto" w:fill="FFFFFF"/>
        <w:spacing w:beforeAutospacing="0" w:after="90" w:afterAutospacing="0" w:line="600" w:lineRule="exact"/>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《智能果蔬识别称重计价系统》</w:t>
      </w:r>
      <w:r>
        <w:rPr>
          <w:rStyle w:val="11"/>
          <w:rFonts w:hint="eastAsia" w:ascii="仿宋_GB2312" w:hAnsi="Calibri" w:eastAsia="仿宋_GB2312" w:cs="Calibri"/>
          <w:color w:val="000000"/>
          <w:sz w:val="28"/>
          <w:szCs w:val="28"/>
        </w:rPr>
        <w:t>（团队负责人阮杰）</w:t>
      </w:r>
    </w:p>
    <w:p>
      <w:pPr>
        <w:pStyle w:val="10"/>
        <w:shd w:val="clear" w:color="auto" w:fill="FFFFFF"/>
        <w:spacing w:before="0" w:beforeAutospacing="0" w:after="0" w:afterAutospacing="0" w:line="600" w:lineRule="exact"/>
        <w:ind w:firstLine="560" w:firstLineChars="200"/>
        <w:jc w:val="both"/>
        <w:rPr>
          <w:rFonts w:ascii="Calibri" w:hAnsi="Calibri" w:cs="Calibri"/>
          <w:color w:val="000000"/>
          <w:sz w:val="21"/>
          <w:szCs w:val="21"/>
        </w:rPr>
      </w:pPr>
      <w:r>
        <w:rPr>
          <w:rStyle w:val="11"/>
          <w:rFonts w:hint="eastAsia" w:ascii="仿宋_GB2312" w:hAnsi="Calibri" w:eastAsia="仿宋_GB2312" w:cs="Calibri"/>
          <w:color w:val="000000"/>
          <w:sz w:val="28"/>
          <w:szCs w:val="28"/>
        </w:rPr>
        <w:t>《微视频与应用型高效模块化教学的融合发展调查报告》（团队负责人郑宝佳）</w:t>
      </w:r>
    </w:p>
    <w:p>
      <w:pPr>
        <w:pStyle w:val="10"/>
        <w:shd w:val="clear" w:color="auto" w:fill="FFFFFF"/>
        <w:spacing w:before="0" w:beforeAutospacing="0" w:after="0" w:afterAutospacing="0" w:line="600" w:lineRule="exact"/>
        <w:ind w:firstLine="560" w:firstLineChars="200"/>
        <w:jc w:val="both"/>
        <w:rPr>
          <w:rFonts w:ascii="Calibri" w:hAnsi="Calibri" w:cs="Calibri"/>
          <w:color w:val="000000"/>
          <w:sz w:val="21"/>
          <w:szCs w:val="21"/>
        </w:rPr>
      </w:pPr>
      <w:r>
        <w:rPr>
          <w:rStyle w:val="11"/>
          <w:rFonts w:hint="eastAsia" w:ascii="仿宋_GB2312" w:hAnsi="Calibri" w:eastAsia="仿宋_GB2312" w:cs="Calibri"/>
          <w:color w:val="000000"/>
          <w:sz w:val="28"/>
          <w:szCs w:val="28"/>
        </w:rPr>
        <w:t>《MoS2/粉煤灰润滑剂的制备与性能研究》（团队负责人吴宁）</w:t>
      </w:r>
    </w:p>
    <w:p>
      <w:pPr>
        <w:pStyle w:val="10"/>
        <w:shd w:val="clear" w:color="auto" w:fill="FFFFFF"/>
        <w:spacing w:before="0" w:beforeAutospacing="0" w:after="0" w:afterAutospacing="0" w:line="600" w:lineRule="exact"/>
        <w:ind w:firstLine="560" w:firstLineChars="200"/>
        <w:jc w:val="both"/>
        <w:rPr>
          <w:rFonts w:ascii="Calibri" w:hAnsi="Calibri" w:cs="Calibri"/>
          <w:color w:val="000000"/>
          <w:sz w:val="21"/>
          <w:szCs w:val="21"/>
        </w:rPr>
      </w:pPr>
      <w:r>
        <w:rPr>
          <w:rStyle w:val="11"/>
          <w:rFonts w:hint="eastAsia" w:ascii="仿宋_GB2312" w:hAnsi="Calibri" w:eastAsia="仿宋_GB2312" w:cs="Calibri"/>
          <w:color w:val="000000"/>
          <w:sz w:val="28"/>
          <w:szCs w:val="28"/>
        </w:rPr>
        <w:t>《三种通过温和的水热合成的具有独特三维开放骨架结构多孔磷酸铝》（团队负责人何林波）</w:t>
      </w:r>
    </w:p>
    <w:p>
      <w:pPr>
        <w:pStyle w:val="10"/>
        <w:shd w:val="clear" w:color="auto" w:fill="FFFFFF"/>
        <w:spacing w:before="0" w:beforeAutospacing="0" w:after="0" w:afterAutospacing="0" w:line="600" w:lineRule="exact"/>
        <w:ind w:firstLine="560" w:firstLineChars="200"/>
        <w:jc w:val="both"/>
        <w:rPr>
          <w:rFonts w:ascii="Calibri" w:hAnsi="Calibri" w:cs="Calibri"/>
          <w:color w:val="000000"/>
          <w:sz w:val="21"/>
          <w:szCs w:val="21"/>
        </w:rPr>
      </w:pPr>
      <w:r>
        <w:rPr>
          <w:rStyle w:val="11"/>
          <w:rFonts w:hint="eastAsia" w:ascii="仿宋_GB2312" w:hAnsi="Calibri" w:eastAsia="仿宋_GB2312" w:cs="Calibri"/>
          <w:color w:val="000000"/>
          <w:sz w:val="28"/>
          <w:szCs w:val="28"/>
        </w:rPr>
        <w:t>《高通量多器官组织模型的构建及应用》（团队负责人彭玮）</w:t>
      </w:r>
    </w:p>
    <w:p>
      <w:pPr>
        <w:pStyle w:val="10"/>
        <w:shd w:val="clear" w:color="auto" w:fill="FFFFFF"/>
        <w:spacing w:before="0" w:beforeAutospacing="0" w:after="0" w:afterAutospacing="0" w:line="600" w:lineRule="exact"/>
        <w:ind w:firstLine="560" w:firstLineChars="200"/>
        <w:jc w:val="both"/>
        <w:rPr>
          <w:rFonts w:ascii="Calibri" w:hAnsi="Calibri" w:cs="Calibri"/>
          <w:color w:val="000000"/>
          <w:sz w:val="21"/>
          <w:szCs w:val="21"/>
        </w:rPr>
      </w:pPr>
      <w:r>
        <w:rPr>
          <w:rStyle w:val="11"/>
          <w:rFonts w:hint="eastAsia" w:ascii="仿宋_GB2312" w:hAnsi="Calibri" w:eastAsia="仿宋_GB2312" w:cs="Calibri"/>
          <w:color w:val="000000"/>
          <w:sz w:val="28"/>
          <w:szCs w:val="28"/>
        </w:rPr>
        <w:t>《制备环境友好磁性材料活化过硫酸盐降解有机污染物-以模拟染料废水为例》（团队负责人孙欣茹）</w:t>
      </w:r>
    </w:p>
    <w:p>
      <w:pPr>
        <w:pStyle w:val="10"/>
        <w:shd w:val="clear" w:color="auto" w:fill="FFFFFF"/>
        <w:spacing w:before="0" w:beforeAutospacing="0" w:after="0" w:afterAutospacing="0" w:line="600" w:lineRule="exac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《“不忘来时路”红色旅游产业对地区扶贫工作的影响调查——以皖西大别山区为例》（团队负责人李庆锋）</w:t>
      </w:r>
    </w:p>
    <w:p>
      <w:pPr>
        <w:pStyle w:val="10"/>
        <w:shd w:val="clear" w:color="auto" w:fill="FFFFFF"/>
        <w:spacing w:before="0" w:beforeAutospacing="0" w:after="0" w:afterAutospacing="0" w:line="600" w:lineRule="exac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三等奖:</w:t>
      </w:r>
    </w:p>
    <w:p>
      <w:pPr>
        <w:pStyle w:val="10"/>
        <w:shd w:val="clear" w:color="auto" w:fill="FFFFFF"/>
        <w:spacing w:before="0" w:beforeAutospacing="0" w:after="0" w:afterAutospacing="0" w:line="600" w:lineRule="exact"/>
        <w:ind w:firstLine="560" w:firstLineChars="200"/>
        <w:jc w:val="both"/>
        <w:rPr>
          <w:rFonts w:ascii="Calibri" w:hAnsi="Calibri" w:cs="Calibri"/>
          <w:color w:val="000000"/>
          <w:sz w:val="21"/>
          <w:szCs w:val="21"/>
        </w:rPr>
      </w:pPr>
      <w:r>
        <w:rPr>
          <w:rStyle w:val="11"/>
          <w:rFonts w:hint="eastAsia" w:ascii="仿宋_GB2312" w:hAnsi="Calibri" w:eastAsia="仿宋_GB2312" w:cs="Calibri"/>
          <w:color w:val="000000"/>
          <w:sz w:val="28"/>
          <w:szCs w:val="28"/>
        </w:rPr>
        <w:t>《理解创伤：新冠肺炎疫情下的多元创伤记忆》（团队负责人周书颖）</w:t>
      </w:r>
    </w:p>
    <w:p>
      <w:pPr>
        <w:pStyle w:val="10"/>
        <w:shd w:val="clear" w:color="auto" w:fill="FFFFFF"/>
        <w:spacing w:before="0" w:beforeAutospacing="0" w:after="0" w:afterAutospacing="0" w:line="600" w:lineRule="exac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《水质理化参数在线检测仪》（团队负责人汤臣）</w:t>
      </w:r>
    </w:p>
    <w:p>
      <w:pPr>
        <w:pStyle w:val="10"/>
        <w:shd w:val="clear" w:color="auto" w:fill="FFFFFF"/>
        <w:spacing w:before="0" w:beforeAutospacing="0" w:after="0" w:afterAutospacing="0" w:line="400" w:lineRule="atLeast"/>
        <w:ind w:firstLine="562" w:firstLineChars="200"/>
        <w:jc w:val="both"/>
        <w:rPr>
          <w:rStyle w:val="11"/>
          <w:rFonts w:ascii="仿宋_GB2312" w:hAnsi="Calibri" w:eastAsia="仿宋_GB2312" w:cs="Calibri"/>
          <w:b/>
          <w:bCs/>
          <w:color w:val="000000"/>
          <w:sz w:val="28"/>
          <w:szCs w:val="28"/>
        </w:rPr>
      </w:pPr>
    </w:p>
    <w:p>
      <w:pPr>
        <w:pStyle w:val="10"/>
        <w:shd w:val="clear" w:color="auto" w:fill="FFFFFF"/>
        <w:spacing w:before="0" w:beforeAutospacing="0" w:after="0" w:afterAutospacing="0" w:line="400" w:lineRule="atLeast"/>
        <w:ind w:firstLine="562" w:firstLineChars="200"/>
        <w:jc w:val="both"/>
        <w:rPr>
          <w:rStyle w:val="11"/>
          <w:rFonts w:ascii="仿宋_GB2312" w:hAnsi="Calibri" w:eastAsia="仿宋_GB2312" w:cs="Calibri"/>
          <w:b/>
          <w:bCs/>
          <w:color w:val="000000"/>
          <w:sz w:val="28"/>
          <w:szCs w:val="28"/>
        </w:rPr>
      </w:pPr>
      <w:r>
        <w:rPr>
          <w:rStyle w:val="11"/>
          <w:rFonts w:hint="eastAsia" w:ascii="仿宋_GB2312" w:hAnsi="Calibri" w:eastAsia="仿宋_GB2312" w:cs="Calibri"/>
          <w:b/>
          <w:bCs/>
          <w:color w:val="000000"/>
          <w:sz w:val="28"/>
          <w:szCs w:val="28"/>
        </w:rPr>
        <w:t>红色专项：</w:t>
      </w:r>
    </w:p>
    <w:p>
      <w:pPr>
        <w:pStyle w:val="10"/>
        <w:shd w:val="clear" w:color="auto" w:fill="FFFFFF"/>
        <w:spacing w:before="0" w:beforeAutospacing="0" w:after="0" w:afterAutospacing="0" w:line="400" w:lineRule="atLeas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二等奖：</w:t>
      </w:r>
    </w:p>
    <w:p>
      <w:pPr>
        <w:pStyle w:val="10"/>
        <w:shd w:val="clear" w:color="auto" w:fill="FFFFFF"/>
        <w:spacing w:before="0" w:beforeAutospacing="0" w:after="0" w:afterAutospacing="0" w:line="400" w:lineRule="atLeas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《“不忘来时路”红色旅游产业对地区扶贫工作的影响调查——以皖西大别山区为例》（团队负责人李庆锋）</w:t>
      </w:r>
      <w:bookmarkStart w:id="0" w:name="_GoBack"/>
      <w:bookmarkEnd w:id="0"/>
    </w:p>
    <w:p>
      <w:pPr>
        <w:pStyle w:val="10"/>
        <w:shd w:val="clear" w:color="auto" w:fill="FFFFFF"/>
        <w:spacing w:before="0" w:beforeAutospacing="0" w:after="0" w:afterAutospacing="0" w:line="400" w:lineRule="atLeas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三等奖：</w:t>
      </w:r>
    </w:p>
    <w:p>
      <w:pPr>
        <w:pStyle w:val="10"/>
        <w:shd w:val="clear" w:color="auto" w:fill="FFFFFF"/>
        <w:spacing w:before="0" w:beforeAutospacing="0" w:after="0" w:afterAutospacing="0" w:line="400" w:lineRule="atLeas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《安徽省农村义务教育阶段教育减负实施现状调研》（团队负责人杨肇基）</w:t>
      </w:r>
    </w:p>
    <w:p>
      <w:pPr>
        <w:pStyle w:val="10"/>
        <w:shd w:val="clear" w:color="auto" w:fill="FFFFFF"/>
        <w:spacing w:before="0" w:beforeAutospacing="0" w:after="0" w:afterAutospacing="0" w:line="400" w:lineRule="atLeas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《听脱贫攻坚故事 做美丽乡村守护者》 （团队负责人王宇）</w:t>
      </w:r>
    </w:p>
    <w:p>
      <w:pPr>
        <w:pStyle w:val="10"/>
        <w:shd w:val="clear" w:color="auto" w:fill="FFFFFF"/>
        <w:spacing w:before="0" w:beforeAutospacing="0" w:after="0" w:afterAutospacing="0" w:line="400" w:lineRule="atLeast"/>
        <w:ind w:firstLine="560" w:firstLineChars="200"/>
        <w:jc w:val="both"/>
        <w:rPr>
          <w:rStyle w:val="11"/>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《文化传底蕴 乡村显魅力》 （团队负责人宋文文）</w:t>
      </w:r>
    </w:p>
    <w:p>
      <w:pPr>
        <w:pStyle w:val="10"/>
        <w:shd w:val="clear" w:color="auto" w:fill="FFFFFF"/>
        <w:spacing w:before="0" w:beforeAutospacing="0" w:after="0" w:afterAutospacing="0" w:line="400" w:lineRule="atLeast"/>
        <w:ind w:firstLine="560" w:firstLineChars="200"/>
        <w:jc w:val="both"/>
        <w:rPr>
          <w:rFonts w:ascii="仿宋_GB2312" w:hAnsi="Calibri" w:eastAsia="仿宋_GB2312" w:cs="Calibri"/>
          <w:color w:val="000000"/>
          <w:sz w:val="28"/>
          <w:szCs w:val="28"/>
        </w:rPr>
      </w:pPr>
      <w:r>
        <w:rPr>
          <w:rStyle w:val="11"/>
          <w:rFonts w:hint="eastAsia" w:ascii="仿宋_GB2312" w:hAnsi="Calibri" w:eastAsia="仿宋_GB2312" w:cs="Calibri"/>
          <w:color w:val="000000"/>
          <w:sz w:val="28"/>
          <w:szCs w:val="28"/>
        </w:rPr>
        <w:t>《心系陡张村，关爱留守儿童》 （团队负责人张豪阳）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07FB"/>
    <w:rsid w:val="000B0DF9"/>
    <w:rsid w:val="001677A9"/>
    <w:rsid w:val="001C06D5"/>
    <w:rsid w:val="00246B28"/>
    <w:rsid w:val="002A1555"/>
    <w:rsid w:val="002F40F4"/>
    <w:rsid w:val="003275DA"/>
    <w:rsid w:val="003C152E"/>
    <w:rsid w:val="003F18DD"/>
    <w:rsid w:val="00435390"/>
    <w:rsid w:val="00444422"/>
    <w:rsid w:val="00471239"/>
    <w:rsid w:val="00502F50"/>
    <w:rsid w:val="005E04B6"/>
    <w:rsid w:val="006123C3"/>
    <w:rsid w:val="007207FB"/>
    <w:rsid w:val="007A6A94"/>
    <w:rsid w:val="008472E5"/>
    <w:rsid w:val="00A631EB"/>
    <w:rsid w:val="00A96128"/>
    <w:rsid w:val="00AB425F"/>
    <w:rsid w:val="00E0244E"/>
    <w:rsid w:val="00E27454"/>
    <w:rsid w:val="00E375D6"/>
    <w:rsid w:val="00F93D93"/>
    <w:rsid w:val="00FE0964"/>
    <w:rsid w:val="2DFA3854"/>
    <w:rsid w:val="6ABF2B8A"/>
    <w:rsid w:val="7FBE2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 w:type="character" w:customStyle="1" w:styleId="9">
    <w:name w:val="qowt-font2"/>
    <w:basedOn w:val="6"/>
    <w:uiPriority w:val="0"/>
  </w:style>
  <w:style w:type="paragraph" w:customStyle="1" w:styleId="10">
    <w:name w:val="qowt-li-0_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1">
    <w:name w:val="qowt-font9-gb2312"/>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965ED-CF98-4EB2-AF0D-700D6760A6B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Words>
  <Characters>670</Characters>
  <Lines>5</Lines>
  <Paragraphs>1</Paragraphs>
  <TotalTime>2</TotalTime>
  <ScaleCrop>false</ScaleCrop>
  <LinksUpToDate>false</LinksUpToDate>
  <CharactersWithSpaces>786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2021-11-08T11:23:00Z</dcterms:created>
  <dc:creator>白xp西西</dc:creator>
  <cp:lastModifiedBy>Administrator</cp:lastModifiedBy>
  <dcterms:modified xsi:type="dcterms:W3CDTF">2021-11-23T08:34:44Z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0255C6F12D0841478ACB1BB491D9ED28</vt:lpwstr>
  </property>
</Properties>
</file>